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440" w:leader="none"/>
          <w:tab w:val="center" w:pos="4252" w:leader="none"/>
          <w:tab w:val="right" w:pos="8504" w:leader="none"/>
        </w:tabs>
        <w:spacing w:lineRule="auto" w:line="240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Ata da Reunião </w:t>
      </w: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4"/>
          <w:u w:val="single"/>
          <w:lang w:val="pt-BR" w:eastAsia="pt-BR" w:bidi="ar-SA"/>
        </w:rPr>
        <w:t>O</w:t>
      </w:r>
      <w:r>
        <w:rPr>
          <w:rFonts w:cs="Arial" w:ascii="Arial" w:hAnsi="Arial"/>
          <w:b/>
          <w:bCs/>
          <w:sz w:val="24"/>
          <w:szCs w:val="24"/>
          <w:u w:val="single"/>
        </w:rPr>
        <w:t>rdinária do Gabinete de Gestão Integrado Municipal – GGI/M</w:t>
      </w:r>
    </w:p>
    <w:p>
      <w:pPr>
        <w:pStyle w:val="Normal"/>
        <w:tabs>
          <w:tab w:val="clear" w:pos="709"/>
          <w:tab w:val="left" w:pos="2440" w:leader="none"/>
          <w:tab w:val="center" w:pos="4252" w:leader="none"/>
          <w:tab w:val="right" w:pos="8504" w:leader="none"/>
        </w:tabs>
        <w:spacing w:lineRule="auto" w:line="240"/>
        <w:jc w:val="center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 xml:space="preserve">N° 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u w:val="single"/>
          <w:lang w:val="pt-BR" w:eastAsia="pt-BR" w:bidi="ar-SA"/>
        </w:rPr>
        <w:t>03</w:t>
      </w:r>
      <w:r>
        <w:rPr>
          <w:rFonts w:cs="Arial" w:ascii="Arial" w:hAnsi="Arial"/>
          <w:b/>
          <w:bCs/>
          <w:sz w:val="28"/>
          <w:szCs w:val="28"/>
          <w:u w:val="single"/>
        </w:rPr>
        <w:t xml:space="preserve">/2023 de 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u w:val="single"/>
          <w:lang w:val="pt-BR" w:eastAsia="pt-BR" w:bidi="ar-SA"/>
        </w:rPr>
        <w:t>14</w:t>
      </w:r>
      <w:r>
        <w:rPr>
          <w:rFonts w:cs="Arial" w:ascii="Arial" w:hAnsi="Arial"/>
          <w:b/>
          <w:bCs/>
          <w:sz w:val="28"/>
          <w:szCs w:val="28"/>
          <w:u w:val="single"/>
        </w:rPr>
        <w:t>/</w:t>
      </w:r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u w:val="single"/>
          <w:lang w:val="pt-BR" w:eastAsia="pt-BR" w:bidi="ar-SA"/>
        </w:rPr>
        <w:t>06</w:t>
      </w:r>
      <w:r>
        <w:rPr>
          <w:rFonts w:cs="Arial" w:ascii="Arial" w:hAnsi="Arial"/>
          <w:b/>
          <w:bCs/>
          <w:sz w:val="28"/>
          <w:szCs w:val="28"/>
          <w:u w:val="single"/>
        </w:rPr>
        <w:t>/2023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Ao décimo </w:t>
      </w:r>
      <w:r>
        <w:rPr>
          <w:rFonts w:eastAsia="Arial" w:cs="Arial" w:ascii="Arial" w:hAnsi="Arial"/>
          <w:color w:val="auto"/>
          <w:kern w:val="0"/>
          <w:sz w:val="24"/>
          <w:szCs w:val="24"/>
          <w:lang w:val="pt-BR" w:eastAsia="pt-BR" w:bidi="ar-SA"/>
        </w:rPr>
        <w:t>quarto</w:t>
      </w:r>
      <w:r>
        <w:rPr>
          <w:rFonts w:eastAsia="Arial" w:cs="Arial" w:ascii="Arial" w:hAnsi="Arial"/>
          <w:sz w:val="24"/>
          <w:szCs w:val="24"/>
        </w:rPr>
        <w:t xml:space="preserve"> dia do mês de </w:t>
      </w:r>
      <w:r>
        <w:rPr>
          <w:rFonts w:eastAsia="Arial" w:cs="Arial" w:ascii="Arial" w:hAnsi="Arial"/>
          <w:color w:val="auto"/>
          <w:kern w:val="0"/>
          <w:sz w:val="24"/>
          <w:szCs w:val="24"/>
          <w:lang w:val="pt-BR" w:eastAsia="pt-BR" w:bidi="ar-SA"/>
        </w:rPr>
        <w:t>junho</w:t>
      </w:r>
      <w:r>
        <w:rPr>
          <w:rFonts w:eastAsia="Arial" w:cs="Arial" w:ascii="Arial" w:hAnsi="Arial"/>
          <w:sz w:val="24"/>
          <w:szCs w:val="24"/>
        </w:rPr>
        <w:t xml:space="preserve"> de dois mil e vinte e três, foi realizada a reunião </w:t>
      </w:r>
      <w:r>
        <w:rPr>
          <w:rFonts w:eastAsia="Arial" w:cs="Arial" w:ascii="Arial" w:hAnsi="Arial"/>
          <w:color w:val="auto"/>
          <w:kern w:val="0"/>
          <w:sz w:val="24"/>
          <w:szCs w:val="24"/>
          <w:lang w:val="pt-BR" w:eastAsia="pt-BR" w:bidi="ar-SA"/>
        </w:rPr>
        <w:t>O</w:t>
      </w:r>
      <w:r>
        <w:rPr>
          <w:rFonts w:eastAsia="Arial" w:cs="Arial" w:ascii="Arial" w:hAnsi="Arial"/>
          <w:sz w:val="24"/>
          <w:szCs w:val="24"/>
        </w:rPr>
        <w:t xml:space="preserve">rdinária do Gabinete de Gestão Integrada Municipal – GGI-M, </w:t>
      </w:r>
      <w:r>
        <w:rPr>
          <w:rFonts w:eastAsia="Arial" w:cs="Arial" w:ascii="Arial" w:hAnsi="Arial"/>
          <w:color w:val="000000"/>
          <w:sz w:val="24"/>
          <w:szCs w:val="24"/>
          <w:lang w:eastAsia="ar-SA"/>
        </w:rPr>
        <w:t>na sede da Defesa Civil. Estavam p</w:t>
      </w:r>
      <w:r>
        <w:rPr>
          <w:rFonts w:eastAsia="Arial" w:cs="Arial" w:ascii="Arial" w:hAnsi="Arial"/>
          <w:sz w:val="24"/>
          <w:szCs w:val="24"/>
        </w:rPr>
        <w:t xml:space="preserve">resentes os seguintes Membros: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Paulo José Borges (Gabinete do Prefeitura – Prefeitura Municipal de Criciúma); Daniel Rodrigues Goulart (Diretoria de Trânsito e Transporte – DTT); André Borges Milanese (Delegacia Regional de Polícia Civil de Criciúma – 6° DRP); Fernando Lamberti Bissaco (9°Batalhão de Polícia Militar – 9° BPM) Mário Luiz Silva (9°Batalhão de Polícia Militar – 9° BPM);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Rafael De Faveri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 (4° Batalhão de Bombeiro Militar – 4° BBM); Manoel Rozeng (Câmara Municipal de Vereadores); Rosana Guimarães Correa (Ordem dos Advogados do Brasil – OAB – Subseção de Criciúma);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Fernando Bertan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 (Fundação Educacional de Criciúma – FUCRI/UNESC); Humberto Marcon Fascin (Associação Empresarial de Criciúma – ACIC); Andrea Gazola Salvalaggio e André Luiz S. De Castro (Cãmara de Dirigentes Lojistas – CDL); Alcides José Pirolla (Rotary Club de Criciúma); Laureci Volpato (Lions Clubes de Criciúma); Rafael Sartor e Jones Cambruzzi Pereira (Instituto Geral de Perícias – IGP); Zulma Nascimento Guidi (Secretaria Municipal de Educação); Katiane Figueredo (Secretaria Municipal de Saúde); Rita de Cássia Bergmenn (Associação Feminina de Assistência Social de Criciúma – AFASC); Alfredo Anselmo Gomes (Coordenadoria Municipal de Proteção e Defesa Civil); Nei Alan Martins (Secretaria Municipal de Assistência Social e Habitação); Diego João Fermiano (Departamento de Administração Socioeducativo – DEASE). 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Coordenador-Geral Alfredo Gomes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iniciou a reunião saudando e agradecendo pela presença de todos.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P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rosseguindo, o mesmo solicitou aos presentes uma breve apresentação, por terem novos membros integrados a esse gabinete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, após as apresentações, 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coordenador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deu seguimento a pauta,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apresentando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a sala do Centro de Comandos de Operações (CCO). O coordenador informou que a apresentação do CCO não foi realizada, pois ainda existem problemas técnicos de largura de banda,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mas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explicou como estão distribuídas nas telas as câmeras em cada escola, observ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ando que, ainda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que a AFASC utiliz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seu próprio sistema de câmeras,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ele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está sendo monitorado pelo CCO.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O coordenador ressaltou, também,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que houve procura das escolas particulares pelo serviço de monitoramento.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Os presentes foram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informado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que todas as entradas principais dos colégios do município estão sendo contempladas com as câmeras de seguranças,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observou-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se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a facilidade na visualização dos interiores das escolas e uma possível maior agilidade nas tomadas de de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cis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ão das forças de segurança. O Coordenador-Geral colocou em pauta o botão do pânico,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afirmando que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o sistema estaria instalado em um ponto se comunicando com um ponto de controle e vice e versa, criando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assim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uma forma mais fácil para a comunicação do ponto instalado com o ponto de controle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; 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bservou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ainda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 que futuramente as forças de segurança podem exigir o acesso as câmeras dessas escolas. As câmeras serão monitoradas por pessoas treinadas durante todo o dia, informou o coordenador. A conselheira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Andrea Gazola Salvalaggio questionou se seria possível a instalação desse sistema de câmeras no centro da cidade,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ao passo que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Coordenador-Geral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 informou que poderiam ser instaladas, custando apenas a compra do material, mas com acesso gratuito por parte do CCO.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No entanto,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ressaltou-se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 que a prioridade para a instalação das câmeras, será o interior das escolas. Foram comentadas as funcionalidades e tecnologias das câmeras, como, por exemplo, armazenamento em nuvem e uma possível implantação de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inteligência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 artificial no uso das mesmas. O membro representante do 9°Batalhão de Polícia Militar – 9° BPM, Tenente Coronel Mário Luiz Silva parabenizou a iniciativa e a agilidade da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D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efesa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C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ivil quanto ao sistema de câmeras e apontou a importância da inteligência artificial e seus benefícios na segurança pública. O membro Rafael Sartor, do Instituto Geral de Perícias – IGP, elogiou a rapidez na montagem da estrutura do CCO e a disponibilidade das pessoas para monitoramento. O membro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Rafael De Faveri, representante do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4° Batalhão de Bombeiro Militar – 4° BBM, observou a importância do botão do pânico, alegando que podem existir respostas mais rápidas e efetivas das forças de segurança. O membro Jones Cambruzzi Pereira destacou a relevância do monitoramento manual das câmeras, um exemplo citado foi o zoom das mesmas, que podiam facilitar a visualização de qualquer ocorrência. O membro Manoel Rozeng, representante da Câmara Municipal de Vereadores,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questionou a possibilidade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em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haver uma discussão do álcool e outras drogas entre os conselheiros do GGI-M. O Conselheiro Paulo José Borges informou que em 2017 foi iniciada em Criciúma uma vistoria em pontos de venda e consumo de bebidas alcoólicas e existiu uma campanha de fiscalização na venda das mesmas e desejou que poderia ser feita novamente essa força tarefa nesses locais, prevenindo a venda ilegal dessas bebidas alcoólicas para menores de idade.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Sem mais a ser tratado, deu por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BR" w:eastAsia="pt-BR" w:bidi="ar-SA"/>
        </w:rPr>
        <w:t xml:space="preserve">encerrada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 xml:space="preserve">a reunião, e eu,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BR" w:eastAsia="pt-BR" w:bidi="ar-SA"/>
        </w:rPr>
        <w:t>Ana Paula Lemos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, lavrei-a presente ata, que após lida e aprovada, será por todos os presentes assinada.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Paulo José Borges (Gabinete do Prefeito – Prefeitura Municipal de Criciúma);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Daniel Rodrigues Goulart (Diretoria de Trânsito e Transporte – DTT);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André Borges Milanese (Delegacia Regional de Polícia Civil de Criciúma – 6° DRP);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Fernando Lamberti Bissaco (9°Batalhão de Polícia Militar – 9° BPM);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Mário Luiz Silva (9°Batalhão de Polícia Militar – 9° BPM);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Rafael De Faveri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 (4° Batalhão de Bombeiro Militar – 4° BBM);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Manoel Rozeng (Câmara Municipal de Vereadores);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Rosana Guimarães Correa (Ordem dos Advogados do Brasil – OAB – Subseção de Criciúma);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pt-BR" w:bidi="ar-SA"/>
        </w:rPr>
        <w:t>Fernando Bertan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 (Fundação Educacional de Criciúma – FUCRI/UNESC);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Renato Bastos (Fundação Educacional de Criciúma – FUCRI/UNESC);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Humberto Marcon Fascin (Associação Empresarial de Criciúma – ACIC);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Andrea Gazola Salvalaggio (Câmara de Dirigentes Lojistas – CDL);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André Luiz S. De Castro (Cãmara de Dirigentes Lojistas – CDL);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Alcides José Pirolla (Rotary Club de Criciúma);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Rafael Sartor (Instituto Geral de Perícias – IGP);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Jones Cambruzzi Pereira (Instituto Geral de Perícias – IGP);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Zulma Nascimento Guidi (Secretaria Municipal de Educação);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Katiane Figueredo (Secretaria Municipal de Saúde);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Rita de Cássia Bergmenn (Associação Feminina de Assistência Social de Criciúma – AFASC);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Alfredo Anselmo Gomes (Coordenadoria Municipal de Proteção e Defesa Civil);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>Nei Alan Martins (Secretaria Municipal de Assistência Social e Habitação);</w:t>
      </w:r>
    </w:p>
    <w:p>
      <w:pPr>
        <w:pStyle w:val="Normal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  <w:t xml:space="preserve">Diego João Fermiano (Departamento de Administração Socioeducativo – DEASE). </w:t>
      </w:r>
    </w:p>
    <w:p>
      <w:pPr>
        <w:pStyle w:val="Normal"/>
        <w:spacing w:before="0" w:after="20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before="0" w:after="20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pt-BR" w:eastAsia="pt-BR" w:bidi="ar-S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1134" w:top="3638" w:footer="1134" w:bottom="16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0" w:after="200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00" w:type="dxa"/>
      <w:jc w:val="left"/>
      <w:tblInd w:w="-786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4572"/>
      <w:gridCol w:w="5327"/>
    </w:tblGrid>
    <w:tr>
      <w:trPr>
        <w:trHeight w:val="1470" w:hRule="atLeast"/>
      </w:trPr>
      <w:tc>
        <w:tcPr>
          <w:tcW w:w="4572" w:type="dxa"/>
          <w:tcBorders/>
        </w:tcPr>
        <w:p>
          <w:pPr>
            <w:pStyle w:val="Normal"/>
            <w:widowControl w:val="false"/>
            <w:spacing w:before="0" w:after="5"/>
            <w:jc w:val="center"/>
            <w:rPr/>
          </w:pPr>
          <w:r>
            <w:rPr/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285750</wp:posOffset>
                </wp:positionH>
                <wp:positionV relativeFrom="paragraph">
                  <wp:posOffset>47625</wp:posOffset>
                </wp:positionV>
                <wp:extent cx="2302510" cy="101981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2510" cy="1019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27" w:type="dxa"/>
          <w:tcBorders/>
        </w:tcPr>
        <w:p>
          <w:pPr>
            <w:pStyle w:val="Cabealho"/>
            <w:widowControl w:val="false"/>
            <w:spacing w:lineRule="auto" w:line="276"/>
            <w:jc w:val="center"/>
            <w:rPr>
              <w:rFonts w:ascii="Arial" w:hAnsi="Arial" w:cs="Arial"/>
              <w:b/>
              <w:b/>
              <w:bCs/>
            </w:rPr>
          </w:pPr>
          <w:r>
            <w:rPr>
              <w:rFonts w:cs="Arial" w:ascii="Arial" w:hAnsi="Arial"/>
              <w:b/>
              <w:bCs/>
            </w:rPr>
          </w:r>
        </w:p>
        <w:p>
          <w:pPr>
            <w:pStyle w:val="Cabealho"/>
            <w:widowControl w:val="false"/>
            <w:spacing w:lineRule="auto" w:line="276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</w:r>
        </w:p>
        <w:p>
          <w:pPr>
            <w:pStyle w:val="Cabealho"/>
            <w:widowControl w:val="false"/>
            <w:spacing w:lineRule="auto" w:line="276"/>
            <w:jc w:val="center"/>
            <w:rPr>
              <w:rFonts w:ascii="Arial" w:hAnsi="Arial" w:cs="Arial"/>
              <w:b/>
              <w:b/>
              <w:bCs/>
              <w:sz w:val="32"/>
              <w:szCs w:val="32"/>
            </w:rPr>
          </w:pPr>
          <w:r>
            <w:rPr>
              <w:rFonts w:cs="Arial" w:ascii="Arial" w:hAnsi="Arial"/>
              <w:b/>
              <w:bCs/>
              <w:sz w:val="32"/>
              <w:szCs w:val="32"/>
            </w:rPr>
            <w:t xml:space="preserve">   </w:t>
          </w:r>
          <w:r>
            <w:rPr>
              <w:rFonts w:cs="Arial" w:ascii="Arial" w:hAnsi="Arial"/>
              <w:b/>
              <w:bCs/>
              <w:sz w:val="32"/>
              <w:szCs w:val="32"/>
            </w:rPr>
            <w:t>Gabinete de Gestão Integrada Municipal  - GGI-M</w:t>
          </w:r>
        </w:p>
      </w:tc>
    </w:tr>
  </w:tbl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mbria" w:hAnsi="Cambria" w:eastAsia="SimSun" w:cs="Arial"/>
      <w:color w:val="365F91"/>
      <w:sz w:val="32"/>
      <w:szCs w:val="32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mbria" w:hAnsi="Cambria" w:eastAsia="SimSun" w:cs="Arial"/>
      <w:color w:val="365F91"/>
      <w:sz w:val="26"/>
      <w:szCs w:val="26"/>
    </w:rPr>
  </w:style>
  <w:style w:type="paragraph" w:styleId="Ttulo3">
    <w:name w:val="Heading 3"/>
    <w:basedOn w:val="Ttulododocumento"/>
    <w:next w:val="Corpodotexto"/>
    <w:qFormat/>
    <w:pPr>
      <w:spacing w:before="140" w:after="120"/>
      <w:outlineLvl w:val="2"/>
    </w:pPr>
    <w:rPr>
      <w:rFonts w:ascii="Liberation Serif" w:hAnsi="Liberation Serif" w:eastAsia="NSimSun"/>
      <w:b/>
      <w:bCs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styleId="Appleconvertedspace">
    <w:name w:val="apple-converted-space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xtodecomentrioChar">
    <w:name w:val="Texto de comentário Char"/>
    <w:qFormat/>
    <w:rPr>
      <w:sz w:val="20"/>
      <w:szCs w:val="20"/>
    </w:rPr>
  </w:style>
  <w:style w:type="character" w:styleId="AssuntodocomentrioChar">
    <w:name w:val="Assunto do comentário Char"/>
    <w:qFormat/>
    <w:rPr>
      <w:b/>
      <w:bCs/>
      <w:sz w:val="20"/>
      <w:szCs w:val="20"/>
    </w:rPr>
  </w:style>
  <w:style w:type="character" w:styleId="CabealhoChar">
    <w:name w:val="Cabeçalho Char"/>
    <w:qFormat/>
    <w:rPr>
      <w:rFonts w:ascii="Times New Roman" w:hAnsi="Times New Roman" w:eastAsia="Times New Roman" w:cs="Times New Roman"/>
      <w:sz w:val="24"/>
      <w:szCs w:val="24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Ttulo2Char">
    <w:name w:val="Título 2 Char"/>
    <w:basedOn w:val="DefaultParagraphFont"/>
    <w:qFormat/>
    <w:rPr>
      <w:rFonts w:ascii="Cambria" w:hAnsi="Cambria" w:eastAsia="SimSun" w:cs="Arial"/>
      <w:color w:val="365F91"/>
      <w:sz w:val="26"/>
      <w:szCs w:val="26"/>
    </w:rPr>
  </w:style>
  <w:style w:type="character" w:styleId="Ttulo1Char">
    <w:name w:val="Título 1 Char"/>
    <w:basedOn w:val="DefaultParagraphFont"/>
    <w:qFormat/>
    <w:rPr>
      <w:rFonts w:ascii="Cambria" w:hAnsi="Cambria" w:eastAsia="SimSun" w:cs="Arial"/>
      <w:color w:val="365F91"/>
      <w:sz w:val="32"/>
      <w:szCs w:val="32"/>
    </w:rPr>
  </w:style>
  <w:style w:type="character" w:styleId="Nfase">
    <w:name w:val="Ênfase"/>
    <w:qFormat/>
    <w:rPr>
      <w:i/>
      <w:iCs/>
    </w:rPr>
  </w:style>
  <w:style w:type="character" w:styleId="Nfaseforte">
    <w:name w:val="Ênfase forte"/>
    <w:qFormat/>
    <w:rPr>
      <w:b/>
      <w:bCs/>
    </w:rPr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/>
      <w:sz w:val="24"/>
      <w:szCs w:val="24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9"/>
        <w:tab w:val="center" w:pos="5233" w:leader="none"/>
        <w:tab w:val="right" w:pos="10466" w:leader="none"/>
      </w:tabs>
    </w:pPr>
    <w:rPr/>
  </w:style>
  <w:style w:type="paragraph" w:styleId="Textoprformatado">
    <w:name w:val="Texto préformatad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Application>LibreOffice/7.0.1.2$Windows_X86_64 LibreOffice_project/7cbcfc562f6eb6708b5ff7d7397325de9e764452</Application>
  <Pages>4</Pages>
  <Words>997</Words>
  <Characters>5781</Characters>
  <CharactersWithSpaces>6802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2022-08-26T00:20:00Z</dcterms:created>
  <dc:creator>f64904</dc:creator>
  <dc:description/>
  <dc:language>pt-BR</dc:language>
  <cp:lastModifiedBy/>
  <cp:lastPrinted>2023-06-15T16:46:04Z</cp:lastPrinted>
  <dcterms:modified xsi:type="dcterms:W3CDTF">2023-06-16T08:41:30Z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