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591820</wp:posOffset>
                </wp:positionH>
                <wp:positionV relativeFrom="page">
                  <wp:posOffset>629920</wp:posOffset>
                </wp:positionV>
                <wp:extent cx="1123315" cy="973455"/>
                <wp:effectExtent l="0" t="0" r="0" b="0"/>
                <wp:wrapNone/>
                <wp:docPr id="1" name="CaixaTexto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200" cy="973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ixaTexto3" path="m0,0l-2147483645,0l-2147483645,-2147483646l0,-2147483646xe" stroked="f" o:allowincell="f" style="position:absolute;margin-left:46.6pt;margin-top:49.6pt;width:88.4pt;height:76.6pt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5720080</wp:posOffset>
                </wp:positionH>
                <wp:positionV relativeFrom="page">
                  <wp:posOffset>515620</wp:posOffset>
                </wp:positionV>
                <wp:extent cx="1097280" cy="1210945"/>
                <wp:effectExtent l="0" t="0" r="0" b="0"/>
                <wp:wrapNone/>
                <wp:docPr id="2" name="CaixaTexto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211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ixaTexto6" path="m0,0l-2147483645,0l-2147483645,-2147483646l0,-2147483646xe" stroked="f" o:allowincell="f" style="position:absolute;margin-left:450.4pt;margin-top:40.6pt;width:86.35pt;height:95.3pt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591820</wp:posOffset>
                </wp:positionH>
                <wp:positionV relativeFrom="page">
                  <wp:posOffset>629920</wp:posOffset>
                </wp:positionV>
                <wp:extent cx="1123315" cy="972820"/>
                <wp:effectExtent l="0" t="0" r="0" b="0"/>
                <wp:wrapNone/>
                <wp:docPr id="3" name="Quadro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200" cy="9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Quadro4" path="m0,0l-2147483645,0l-2147483645,-2147483646l0,-2147483646xe" stroked="f" o:allowincell="f" style="position:absolute;margin-left:46.6pt;margin-top:49.6pt;width:88.4pt;height:76.55pt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page">
                  <wp:posOffset>5720080</wp:posOffset>
                </wp:positionH>
                <wp:positionV relativeFrom="page">
                  <wp:posOffset>515620</wp:posOffset>
                </wp:positionV>
                <wp:extent cx="1097280" cy="1210310"/>
                <wp:effectExtent l="0" t="0" r="0" b="0"/>
                <wp:wrapNone/>
                <wp:docPr id="4" name="Quadro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21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Quadro5" path="m0,0l-2147483645,0l-2147483645,-2147483646l0,-2147483646xe" stroked="f" o:allowincell="f" style="position:absolute;margin-left:450.4pt;margin-top:40.6pt;width:86.35pt;height:95.25pt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page">
                  <wp:posOffset>5720080</wp:posOffset>
                </wp:positionH>
                <wp:positionV relativeFrom="page">
                  <wp:posOffset>515620</wp:posOffset>
                </wp:positionV>
                <wp:extent cx="1096010" cy="424815"/>
                <wp:effectExtent l="0" t="0" r="0" b="0"/>
                <wp:wrapNone/>
                <wp:docPr id="5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840" cy="424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o:allowincell="f" style="position:absolute;margin-left:450.4pt;margin-top:40.6pt;width:86.25pt;height:33.4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Times New Roman" w:hAnsi="Times New Roman"/>
          <w:b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sz w:val="24"/>
          <w:szCs w:val="24"/>
        </w:rPr>
        <w:t>Reunião Extraordinária – Data: 26/09/2024</w:t>
      </w:r>
    </w:p>
    <w:p>
      <w:pPr>
        <w:pStyle w:val="Normal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Ata n° 12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kern w:val="2"/>
          <w:sz w:val="26"/>
          <w:szCs w:val="26"/>
        </w:rPr>
        <w:t xml:space="preserve">Ao vigésimo sexto dia do mês de setembro de dois mil e vinte e quatro, </w:t>
      </w: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 xml:space="preserve">deu-se início à Reunião extraordinária do Conselho Municipal da Promoção da Igualdade Racial de Criciúma – COMPIRC, de forma online, com início às nove horas da manhã. Estavam presentes os seguintes Conselheiros (as): Janaína Machado dos Santos (Gabinete do Prefeito); Claiton Sebastião (Procuradoria-Geral do município); Daniela Chagas Pacheco Garcia (Secretaria Municipal de Educação); Andreza Aparecida Fidelis (Secretaria Municipal de Educação); Marcela Daiana Vicente Santiago (Secretaria Municipal de Saúde); Joelson Andreza Martins (Secretaria Municipal de Assistência Social); Alexandre Valdemar da Rosa (Polícia Militar); Felipe Stefani Ferreira (Diretoria de Trânsito e Transporte – DTT); Jorge Miguel Nascimento Guerra (Ordem dos Advogados do Brasil – OAB); Lídia Piúcco Ugioni (Ilê Oxalá e Yemanjá); Anabela da Cruz Luiz (associação dança Criciuma – Casa do Hip Hop Flor e Ser); Michele dos Santos Maciel (Anarquistas Contra o Racismo – ACR); Ivan de Souza Ribeiro (Anarquistas Contra o Racismo – ACR); Raquel Damázio da Costa (Movimento Organizado Maura Martins Vicência); Fernanda da Silva Lima (ENEB); Maria Helena de Bitencourt (Sindicato dos Servidores Públicos – SISERP); Janaína Damásio Vitório (Universidade do Extremo Sul Catarinense – UNESC). </w:t>
      </w:r>
      <w:r>
        <w:rPr>
          <w:rFonts w:eastAsia="Arial" w:cs="Times New Roman" w:ascii="Times New Roman" w:hAnsi="Times New Roman"/>
          <w:color w:val="000000"/>
          <w:kern w:val="2"/>
          <w:sz w:val="26"/>
          <w:szCs w:val="26"/>
        </w:rPr>
        <w:t>A Vice-Presidente Daniela Chagas (Secretaria Municipal de Educação)</w:t>
      </w:r>
      <w:bookmarkStart w:id="0" w:name="__DdeLink__106_344079365"/>
      <w:r>
        <w:rPr>
          <w:rFonts w:cs="Times New Roman" w:ascii="Times New Roman" w:hAnsi="Times New Roman"/>
          <w:color w:val="000000"/>
          <w:kern w:val="2"/>
          <w:sz w:val="26"/>
          <w:szCs w:val="26"/>
        </w:rPr>
        <w:t xml:space="preserve"> deu início à reunião saudando a todos e agradecendo a participação dos presentes. Em sequência, prosseguiu a reunião com o último ponto de pauta: informes. A mesma parabenizou as conselheiras Janaína Damásio, Normélia Ondina e aos movimentos organizados que ajudaram a constituir o NEABI – Núcleo de Estudos Afro-Brasileiros e Indígenas, com o evento realizado no dia 25 de setembro de 2024 na UNESC – Universidade do Extremo Sul Catarinense, o qual buscou apenas melhorias para o projeto continuar ativo e resistindo. A mesma mencionou a apresentação de um vídeo no evento sobre o clube união operaria para que os demais conhecessem a história e reforçassem a importância desta entidade para o movimento negro e para a valorização da negritude de Criciúma. A Vice-Presidente reforçou e estendeu o convite da presidente do Clube União Operaria a todos que já tiveram título no clube, procurar a administração atual e recuperar seu título e protagonismo para que o clube se espalhe e se desenvolva. Ademais, a Vice-Presidente em continuação passou ao próximo ponto de pauta verificando a validação do quorum e destacando os conselheiros que todas as atas já foram corrigidas e postadas no grupo do Whatszapp. Assim prosseguiu para o próximo ponto de pauta, o qual fala sobre a continuação do diagnostico – Plano Municipal de Igualdade Racial – PMIR, onde estamos e o que precisamos. A mesma relatou sobre os três encaminhamentos a reuniões dos GT´s, quais não tiveram êxito por não conseguirem se reunir de forma online. Sendo assim, a Vice-Presidente compartilhou com cada GT (Justiça e Cidadania, Saúde da População Negra e Secretaria da Educação) um hall de perguntas para através dessas respostas, dirigir a Coordenação dos Conselhos Municipais realizarem oficios para encaminhamos aos órgãos competentes. Concordou com a mesma o conselheiro </w:t>
      </w: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>Alexandre Valdemar da Rosa (Polícia Militar) o qual faz parte da Justiça e Cidadania. Os conselheiros debateram sobre a sugestão de perguntas aos GT´s e com todos a favor ficou deliberado que será encaminhado pela Vice-Presidente e a Secretaria-Executiva Ana Paula Lemos na semana seguinte os oficios para a administração e obter as respostas para a próxima reunião do conselho. Continuou a Vice-Presidente com o terceiro e último ponto de pauta, referente ao andamento da organização do Aquilombar o qual se foi feito uma reunião extraordinária para se discutir o assunto, organizar uma parte do evento e confirmar algumas atividades. Assim já se definindo o horário e a data, 15hr00 às 19hr00 do dia 20 de novembro de 2024 (feriado nacional), com diversas atrações e atividades do movimento negro. Apenas faltando a organização do cronograma e a confirmação de quem do conselho estará presente no dia do evento para ajudar na demanda. A mesma questionou os demais de quem gostaria de adquirir a camiseta com a logo e personalizada do aquilombar. Explicou todos os detalhes da camiseta, que será igual do ano do passando porém com algumas mudanças como no número da edição e ano realizado. Tendo-se como tema do aquilombar deste ano: Movimentos, Diversidades e Cultura. Confirmando a Presença no dia do Movemento: Janaína Damásio Vitório, Daniela Chagas Pacheco Garcia, Andreza Aparecida Fidelis, Raquel Damázio da Costa, Lídia Piúcco Ugioni, Maria Helena de Bitencourt. Seguindo a conselheira Janaína Damásio Vitório (Universidade do Extremo Sul Catarinense – UNESC) falou sobre a responsabilidade do conselho com o evento e a colaboração e contribuição do mesmo para uma boa confraternização. A Vice-Presidente concordou com a conselheira e pediu a todos a colaboração para um evento organizado e que mostre o que é o movimento negro e o conselho. Tendo finalizado os assuntos pendentes, agradeceu a presença de todos os presentes</w:t>
      </w:r>
      <w:r>
        <w:rPr>
          <w:rFonts w:eastAsia="Arial" w:cs="Times New Roman" w:ascii="Times New Roman" w:hAnsi="Times New Roman"/>
          <w:color w:val="000000"/>
          <w:kern w:val="2"/>
          <w:sz w:val="26"/>
          <w:szCs w:val="26"/>
        </w:rPr>
        <w:t xml:space="preserve"> e encerrou a reunião</w:t>
      </w: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 xml:space="preserve">. E eu, </w:t>
      </w:r>
      <w:r>
        <w:rPr>
          <w:rFonts w:eastAsia="Arial" w:cs="Arial" w:ascii="Times New Roman" w:hAnsi="Times New Roman"/>
          <w:color w:val="000000"/>
          <w:kern w:val="2"/>
          <w:sz w:val="26"/>
          <w:szCs w:val="26"/>
          <w:lang w:val="pt-BR" w:eastAsia="zh-CN" w:bidi="ar-SA"/>
        </w:rPr>
        <w:t>Carol Castro Brito</w:t>
      </w: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 xml:space="preserve">, lavrei a presente ata, que, após lida e aprovada, será assinada por todos os presentes.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 xml:space="preserve">Janaína Machado dos Santos (Gabinete do Prefeito);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 xml:space="preserve">Claiton Sebastião (Procuradoria-Geral do município);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 xml:space="preserve">Daniela Chagas Pacheco Garcia (Secretaria Municipal de Educação);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 xml:space="preserve">Andreza Aparecida Fidelis (Secretaria Municipal de Educação);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 xml:space="preserve">Marcela Daiana Vicente Santiago (Secretaria Municipal de Saúde);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 xml:space="preserve">Joelson Andreza Martins (Secretaria Municipal de Assistência Social);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 xml:space="preserve">Alexandre Valdemar da Rosa (Polícia Militar);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 xml:space="preserve">Felipe Stefani Ferreira (Diretoria de Trânsito e Transporte – DTT);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 xml:space="preserve">Jorge Miguel Nascimento Guerra (Ordem dos Advogados do Brasil - OAB);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 xml:space="preserve">Lídia Piúcco Ugioni (Ilê Oxalá e Yemanjá);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 xml:space="preserve">Anabela da Cruz Luiz (associação dança Criciuma – Casa do Hip Hop Flor e Ser);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 xml:space="preserve">Michele dos Santos Maciel (Anarquistas Contra o Racismo – ACR);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 xml:space="preserve">Ivan de Souza Ribeiro (Anarquistas Contra o Racismo – ACR); 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 xml:space="preserve">Raquel Damázio da Costa (Movimento Organizado Maura Martins Vicência);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 xml:space="preserve">Fernanda da Silva Lima (ENEB);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 xml:space="preserve">Maria Helena de Bitencourt (Sindicato dos Servidores Públicos – SISERP); </w:t>
      </w:r>
    </w:p>
    <w:p>
      <w:pPr>
        <w:pStyle w:val="Normal"/>
        <w:spacing w:lineRule="auto" w:line="360" w:before="0" w:after="20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</w:rPr>
        <w:t>Janaína Damásio Vitório (Universidade do Extremo Sul Catarinense – UNESC).</w:t>
      </w:r>
      <w:bookmarkEnd w:id="0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lnNumType w:countBy="1" w:restart="continuous" w:distance="2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jc w:val="center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-3810</wp:posOffset>
          </wp:positionH>
          <wp:positionV relativeFrom="paragraph">
            <wp:posOffset>118110</wp:posOffset>
          </wp:positionV>
          <wp:extent cx="809625" cy="809625"/>
          <wp:effectExtent l="0" t="0" r="0" b="0"/>
          <wp:wrapNone/>
          <wp:docPr id="6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8220" w:type="dxa"/>
      <w:jc w:val="left"/>
      <w:tblInd w:w="1649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8220"/>
    </w:tblGrid>
    <w:tr>
      <w:trPr>
        <w:trHeight w:val="581" w:hRule="atLeast"/>
      </w:trPr>
      <w:tc>
        <w:tcPr>
          <w:tcW w:w="8220" w:type="dxa"/>
          <w:tcBorders/>
        </w:tcPr>
        <w:p>
          <w:pPr>
            <w:pStyle w:val="Normal"/>
            <w:widowControl w:val="false"/>
            <w:spacing w:before="0" w:after="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</w:r>
        </w:p>
        <w:p>
          <w:pPr>
            <w:pStyle w:val="Normal"/>
            <w:widowControl w:val="false"/>
            <w:spacing w:before="0" w:after="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Conselho Municipal da Promoção da Igualdade Racial de Criciúma – COMPIRC</w:t>
          </w:r>
        </w:p>
        <w:p>
          <w:pPr>
            <w:pStyle w:val="Normal"/>
            <w:widowControl w:val="false"/>
            <w:spacing w:before="0" w:after="5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</w:r>
        </w:p>
      </w:tc>
    </w:tr>
  </w:tbl>
  <w:p>
    <w:pPr>
      <w:pStyle w:val="Cabealho1"/>
      <w:jc w:val="center"/>
      <w:rPr>
        <w:rFonts w:eastAsia="Times New Roman"/>
        <w:b/>
      </w:rPr>
    </w:pPr>
    <w:r>
      <w:rPr>
        <w:rFonts w:eastAsia="Times New Roman"/>
        <w:b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jc w:val="center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-3810</wp:posOffset>
          </wp:positionH>
          <wp:positionV relativeFrom="paragraph">
            <wp:posOffset>118110</wp:posOffset>
          </wp:positionV>
          <wp:extent cx="809625" cy="809625"/>
          <wp:effectExtent l="0" t="0" r="0" b="0"/>
          <wp:wrapNone/>
          <wp:docPr id="7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8220" w:type="dxa"/>
      <w:jc w:val="left"/>
      <w:tblInd w:w="1649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8220"/>
    </w:tblGrid>
    <w:tr>
      <w:trPr>
        <w:trHeight w:val="581" w:hRule="atLeast"/>
      </w:trPr>
      <w:tc>
        <w:tcPr>
          <w:tcW w:w="8220" w:type="dxa"/>
          <w:tcBorders/>
        </w:tcPr>
        <w:p>
          <w:pPr>
            <w:pStyle w:val="Normal"/>
            <w:widowControl w:val="false"/>
            <w:spacing w:before="0" w:after="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</w:r>
        </w:p>
        <w:p>
          <w:pPr>
            <w:pStyle w:val="Normal"/>
            <w:widowControl w:val="false"/>
            <w:spacing w:before="0" w:after="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Conselho Municipal da Promoção da Igualdade Racial de Criciúma – COMPIRC</w:t>
          </w:r>
        </w:p>
        <w:p>
          <w:pPr>
            <w:pStyle w:val="Normal"/>
            <w:widowControl w:val="false"/>
            <w:spacing w:before="0" w:after="5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</w:r>
        </w:p>
      </w:tc>
    </w:tr>
  </w:tbl>
  <w:p>
    <w:pPr>
      <w:pStyle w:val="Cabealho1"/>
      <w:jc w:val="center"/>
      <w:rPr>
        <w:rFonts w:eastAsia="Times New Roman"/>
        <w:b/>
      </w:rPr>
    </w:pPr>
    <w:r>
      <w:rPr>
        <w:rFonts w:eastAsia="Times New Roman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t-BR" w:eastAsia="zh-CN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SimSun" w:cs="Tahoma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TextodebaloChar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Caracteresdenotadefim">
    <w:name w:val="Caracteres de nota de fim"/>
    <w:qFormat/>
    <w:rPr/>
  </w:style>
  <w:style w:type="character" w:styleId="Refdecomentrio1">
    <w:name w:val="Ref. de comentário1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LineNumber">
    <w:name w:val="Line Number"/>
    <w:rPr/>
  </w:style>
  <w:style w:type="character" w:styleId="Linenumber1">
    <w:name w:val="line number1"/>
    <w:basedOn w:val="DefaultParagraphFont"/>
    <w:qFormat/>
    <w:rPr/>
  </w:style>
  <w:style w:type="character" w:styleId="RodapChar1">
    <w:name w:val="Rodapé Char1"/>
    <w:basedOn w:val="DefaultParagraphFont"/>
    <w:qFormat/>
    <w:rPr>
      <w:sz w:val="22"/>
    </w:rPr>
  </w:style>
  <w:style w:type="character" w:styleId="Smbolosdenumerao">
    <w:name w:val="Símbolos de numeração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>
    <w:name w:val="Título 11"/>
    <w:basedOn w:val="Title"/>
    <w:qFormat/>
    <w:pPr>
      <w:outlineLvl w:val="0"/>
    </w:pPr>
    <w:rPr>
      <w:rFonts w:ascii="Liberation Serif" w:hAnsi="Liberation Serif" w:eastAsia="NSimSun" w:cs="Tahoma"/>
      <w:b/>
      <w:bCs/>
      <w:sz w:val="48"/>
      <w:szCs w:val="4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1">
    <w:name w:val="Cabeçalho1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>
    <w:name w:val="Rodapé1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odecomentrio1">
    <w:name w:val="Texto de comentário1"/>
    <w:basedOn w:val="Normal"/>
    <w:qFormat/>
    <w:pPr>
      <w:spacing w:lineRule="auto" w:line="240"/>
    </w:pPr>
    <w:rPr>
      <w:sz w:val="20"/>
      <w:szCs w:val="20"/>
    </w:rPr>
  </w:style>
  <w:style w:type="paragraph" w:styleId="Assuntodocomentrio1">
    <w:name w:val="Assunto do comentário1"/>
    <w:basedOn w:val="Textodecomentrio1"/>
    <w:qFormat/>
    <w:pPr/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hanging="0" w:left="720" w:right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paragraph" w:styleId="Cabealho2">
    <w:name w:val="Cabeçalho2"/>
    <w:basedOn w:val="CabealhoeRodap"/>
    <w:qFormat/>
    <w:pPr>
      <w:suppressLineNumbers/>
    </w:pPr>
    <w:rPr/>
  </w:style>
  <w:style w:type="paragraph" w:styleId="Cabealho3">
    <w:name w:val="Cabeçalho3"/>
    <w:basedOn w:val="Normal"/>
    <w:qFormat/>
    <w:pPr/>
    <w:rPr/>
  </w:style>
  <w:style w:type="paragraph" w:styleId="Rodap2">
    <w:name w:val="Rodapé2"/>
    <w:basedOn w:val="Normal"/>
    <w:qFormat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4">
    <w:name w:val="Cabeçalho4"/>
    <w:basedOn w:val="CabealhoeRodap"/>
    <w:qFormat/>
    <w:pPr>
      <w:suppressLineNumbers/>
    </w:pPr>
    <w:rPr/>
  </w:style>
  <w:style w:type="paragraph" w:styleId="Header">
    <w:name w:val="Head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Application>LibreOffice/24.2.1.2$Windows_X86_64 LibreOffice_project/db4def46b0453cc22e2d0305797cf981b68ef5ac</Application>
  <AppVersion>15.0000</AppVersion>
  <Pages>3</Pages>
  <Words>982</Words>
  <Characters>5560</Characters>
  <CharactersWithSpaces>6561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Com. Rio Maina</dc:creator>
  <dc:description/>
  <dc:language>pt-BR</dc:language>
  <cp:lastModifiedBy/>
  <cp:lastPrinted>2024-09-09T14:04:16Z</cp:lastPrinted>
  <dcterms:modified xsi:type="dcterms:W3CDTF">2024-09-30T17:01:15Z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