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5715635</wp:posOffset>
                </wp:positionH>
                <wp:positionV relativeFrom="page">
                  <wp:posOffset>510540</wp:posOffset>
                </wp:positionV>
                <wp:extent cx="1108710" cy="437515"/>
                <wp:effectExtent l="0" t="0" r="0" b="0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800" cy="437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5" w:before="0" w:after="20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stroked="f" o:allowincell="f" style="position:absolute;margin-left:450.05pt;margin-top:40.2pt;width:87.25pt;height:34.4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75" w:before="0" w:after="200"/>
                        <w:ind w:hanging="0" w:left="0" w:right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Reunião Extraordinária – Data: 14/11/2024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Ata n° 14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Ao décimo quarto dia do mês de novembro de dois mil e vinte e quatro,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deu-se início à Reunião Extraordinária do Conselho Municipal da Promoção da Igualdade Racial de Criciúma – COMPIRC, de forma on-line, com início às quatorze horas da tarde. Estavam presentes os seguintes Conselheiros (as): Janaína Machado dos Santos (Gabinete do Prefeito); Claiton Sebastião (Procuradoria-Geral do município); Joelson Andreza Martins (Secretaria Municipal de Assistência Social e Habitação) Luiz Paulo Dos Santos (Fundação Municipal dos Esportes – FME); Remerson Luiz Vicência (Diretoria de Trânsito e Transporte – DTT); Munique do Nascimento (COPIRC); Joana Ferreira Costa (Ordem dos Advogados do Brasil – OAB); Maria Madalena Santiago (União das Associações de Bairros de Criciúma – UABC); Maxwell Sandeer Flor (Caso do Hip Hop Flor e Ser); Michele dos Santos Maciel (Anarquistas Contra o Racismo – ACR); Maria Estela Costa da Silva (Movimento Organizado Maura Martins Vicência); Estela Machado (ENEB); Maria Helena de Bitencourt (Sindicato dos Servidores Públicos – SISERP); Janaína Damásio Vitório (Universidade do Extremo Sul Catarinense – UNESC). A Presidente Maria Estela Costa da Silva abriu a reunião cumprimentando os presentes e agradecendo a participação de todos. Em seguida, explicou que, devido a um imprevisto, não poderia permanecer até o final da reunião. Solicitou, então, que a Conselheira Janaína Damásio prosseguisse com a condução dos trabalhos. A Conselheira Janaína agradeceu a Presidente pela confiança e do evento e que o principal tema da pauta de hoje é a organização e os encaminhamentos para o evento Aquilombar. A mesma comunicou alguns encaminhamentos e definições referentes </w:t>
      </w:r>
      <w:r>
        <w:rPr>
          <w:rFonts w:eastAsia="Times New Roman" w:cs="Times New Roman" w:ascii="Times New Roman" w:hAnsi="Times New Roman"/>
          <w:sz w:val="24"/>
          <w:szCs w:val="24"/>
        </w:rPr>
        <w:t>à organização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do evento e que, caso alguém tenha dúvidas ou sugestões adicionais, que compartilhe no grupo de WhatsApp, para que possam ser discutidas. Também reforçou a importância da participação ativa dos conselheiros, pedindo que compartilhem no grupo de WhatsApp os eventos em que o conselho possa contribuir ou marcar presença, fortalecendo assim o trabalho coletivo. Além disso, incentivou a todos a divulgar o evento Aquilombar e demais atividades em suas redes sociais, ampliando o alcance e promovendo a participação da comunidade. Sem mais nada a ser </w:t>
      </w:r>
      <w:r>
        <w:rPr>
          <w:rFonts w:eastAsia="Times New Roman" w:cs="Times New Roman" w:ascii="Times New Roman" w:hAnsi="Times New Roman"/>
          <w:sz w:val="24"/>
          <w:szCs w:val="24"/>
        </w:rPr>
        <w:t>apresentado, a Conselheira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Janaína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finaliza a reunião. E eu, Ana Paula Lemos, lavrei a presente ata, que, após lida e aprovada, será assinada por todos os presentes.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Janaína Machado dos Santos (Gabinete do Prefeito);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Claiton Sebastião (Procuradoria-Geral do município);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Joelson Andreza Martins (Secretaria Municipal de Assistência Social e Habitação);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Luiz Paulo Dos Santos (Fundação Municipal dos Esportes – FME);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Remerson Luiz Vicência (Diretoria de Trânsito e Transporte – DTT);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Munique do Nascimento (COPIRC);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Joana Ferreira Costa (Ordem dos Advogados do Brasil – OAB);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Maria Madalena Santiago (União das Associações de Bairros de Criciúma – UABC);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Maxwell Sandeer Flor (Caso do Hip Hop Flor e Ser);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Michele dos Santos Maciel (Anarquistas Contra o Racismo – ACR);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Maria Estela Costa da Silva (Movimento Organizado Maura Martins Vicência);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Estela Machado (ENEB); 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Maria Helena de Bitencourt (Sindicato dos Servidores Públicos – SISERP);</w:t>
      </w:r>
    </w:p>
    <w:p>
      <w:pPr>
        <w:pStyle w:val="Normal1"/>
        <w:spacing w:lineRule="auto" w:line="360" w:before="0" w:after="20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Janaína Damásio Vitório (Universidade do Extremo Sul Catarinense – UNESC).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lnNumType w:countBy="1" w:restart="continuous" w:distance="28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1"/>
      <w:tblW w:w="8220" w:type="dxa"/>
      <w:jc w:val="left"/>
      <w:tblInd w:w="150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1"/>
            <w:widowControl w:val="false"/>
            <w:spacing w:lineRule="auto" w:line="240" w:before="0" w:after="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1"/>
            <w:widowControl w:val="false"/>
            <w:spacing w:lineRule="auto" w:line="240" w:before="0" w:after="5"/>
            <w:jc w:val="center"/>
            <w:rPr>
              <w:rFonts w:ascii="Times New Roman" w:hAnsi="Times New Roman" w:eastAsia="Times New Roman" w:cs="Times New Roman"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1"/>
            <w:widowControl w:val="false"/>
            <w:spacing w:lineRule="auto" w:line="240" w:before="0" w:after="5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1"/>
      <w:tblW w:w="8220" w:type="dxa"/>
      <w:jc w:val="left"/>
      <w:tblInd w:w="150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1"/>
            <w:widowControl w:val="false"/>
            <w:spacing w:lineRule="auto" w:line="240" w:before="0" w:after="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1"/>
            <w:widowControl w:val="false"/>
            <w:spacing w:lineRule="auto" w:line="240" w:before="0" w:after="5"/>
            <w:jc w:val="center"/>
            <w:rPr>
              <w:rFonts w:ascii="Times New Roman" w:hAnsi="Times New Roman" w:eastAsia="Times New Roman" w:cs="Times New Roman"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1"/>
            <w:widowControl w:val="false"/>
            <w:spacing w:lineRule="auto" w:line="240" w:before="0" w:after="5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spacing w:lineRule="auto" w:line="240" w:before="140" w:after="120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/>
    <w:rPr>
      <w:i/>
      <w:color w:val="4F81BD"/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2</Pages>
  <Words>502</Words>
  <Characters>2950</Characters>
  <CharactersWithSpaces>3463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