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Conselho Municipal de Políticas Públicas sobre Álcool, outras Drogas e Dependências – COMAD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Ata n° 03/2025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Ata da Reunião Ordinária do Conselho Municipal de Políticas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 w:val="false"/>
          <w:sz w:val="28"/>
          <w:szCs w:val="28"/>
        </w:rPr>
        <w:t>Públicas sobre Álcool, outras Drogas e Dependências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eastAsia="Calibri" w:ascii="Times New Roman" w:hAnsi="Times New Roman"/>
          <w:b/>
          <w:color w:val="auto"/>
          <w:kern w:val="0"/>
          <w:sz w:val="28"/>
          <w:szCs w:val="28"/>
          <w:lang w:val="pt-BR" w:eastAsia="en-US" w:bidi="ar-SA"/>
        </w:rPr>
        <w:t>0</w:t>
      </w:r>
      <w:r>
        <w:rPr>
          <w:rFonts w:eastAsia="Calibri" w:ascii="Times New Roman" w:hAnsi="Times New Roman"/>
          <w:b/>
          <w:color w:val="auto"/>
          <w:kern w:val="0"/>
          <w:sz w:val="28"/>
          <w:szCs w:val="28"/>
          <w:lang w:val="pt-BR" w:eastAsia="en-US" w:bidi="ar-SA"/>
        </w:rPr>
        <w:t>1</w:t>
      </w:r>
      <w:r>
        <w:rPr>
          <w:rFonts w:ascii="Times New Roman" w:hAnsi="Times New Roman"/>
          <w:b/>
          <w:sz w:val="28"/>
          <w:szCs w:val="28"/>
        </w:rPr>
        <w:t>/04/2025</w:t>
      </w:r>
    </w:p>
    <w:p>
      <w:pPr>
        <w:pStyle w:val="NormalWeb"/>
        <w:spacing w:lineRule="atLeast" w:line="300" w:before="280" w:after="0"/>
        <w:jc w:val="both"/>
        <w:textAlignment w:val="baseline"/>
        <w:rPr/>
      </w:pPr>
      <w:r>
        <w:rPr/>
        <w:t xml:space="preserve">Ao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primeiro</w:t>
      </w:r>
      <w:r>
        <w:rPr/>
        <w:t xml:space="preserve"> dia do mês de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abril</w:t>
      </w:r>
      <w:r>
        <w:rPr/>
        <w:t xml:space="preserve"> de dois mil e vinte e cinco, aconteceu a reunião Ordinária do Conselho Municipal de Políticas </w:t>
      </w:r>
      <w:r>
        <w:rPr>
          <w:b w:val="false"/>
          <w:bCs w:val="false"/>
          <w:sz w:val="24"/>
          <w:szCs w:val="24"/>
        </w:rPr>
        <w:t>Públicas sobre Álcool, outras Drogas e Dependências</w:t>
      </w:r>
      <w:r>
        <w:rPr/>
        <w:t xml:space="preserve"> – COMAD, de forma presencial. Estavam presentes os(as) seguintes conselheiros(as):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Grasiela Deboita Gregório (Secretaria Municipal de Saúde); </w:t>
      </w:r>
      <w:r>
        <w:rPr>
          <w:color w:val="000000"/>
        </w:rPr>
        <w:t>Carla Fernanda Medeiros Febel</w:t>
      </w:r>
      <w:r>
        <w:rPr/>
        <w:t xml:space="preserve"> (Secretaria Municipal de Educação); Greice Dutra (Vigilância Sanitária); Joelson Andreza Martins (Secretaria Municipal de Assistência Social);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  <w:t>Mariane Martins Pescador</w:t>
      </w:r>
      <w:r>
        <w:rPr/>
        <w:t xml:space="preserve"> (Procuradoria-geral do Município); Milani Del Priori (Abadeus); </w:t>
      </w:r>
      <w:r>
        <w:rPr>
          <w:color w:val="000000"/>
        </w:rPr>
        <w:t xml:space="preserve">Manoel Rozeng </w:t>
      </w:r>
      <w:r>
        <w:rPr/>
        <w:t>(Lions Club)</w:t>
      </w:r>
      <w:r>
        <w:rPr>
          <w:color w:val="000000"/>
        </w:rPr>
        <w:t xml:space="preserve">; 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Vânio de Oliveira</w:t>
      </w:r>
      <w:r>
        <w:rPr>
          <w:color w:val="000000"/>
        </w:rPr>
        <w:t xml:space="preserve"> (Federação de Comunidades Terapêuticas de Santa Catarina – FECOTESC); Amâncio dos Passos Grigorio  (Bairro da Juventude); Alba de Souza (Grupo de Apoio e Prevenção a Aids de Criciúma- GAPAC). Convidados: Nicole Garcia (Secretaria de Educação); Giovana Reni Barbosa (Vigilância Sanitária). A Coordenação dos Conselhos Municipais ministrou a reunião e deu início a eleição, em razão da alteração da lei nº</w:t>
      </w:r>
      <w:r>
        <w:rPr>
          <w:b w:val="false"/>
          <w:i w:val="false"/>
          <w:caps/>
          <w:color w:val="000000"/>
          <w:spacing w:val="0"/>
          <w:sz w:val="24"/>
          <w:szCs w:val="24"/>
        </w:rPr>
        <w:t xml:space="preserve"> 4768/2005, </w:t>
      </w:r>
      <w:r>
        <w:rPr>
          <w:color w:val="000000"/>
        </w:rPr>
        <w:t>na qual foi revogada pela lei n</w:t>
      </w:r>
      <w:r>
        <w:rPr/>
        <w:t xml:space="preserve">º 8695/2025. A conselheira </w:t>
      </w:r>
      <w:r>
        <w:rPr>
          <w:color w:val="000000"/>
        </w:rPr>
        <w:t>Carla Fernanda Medeiros Febel</w:t>
      </w:r>
      <w:r>
        <w:rPr/>
        <w:t xml:space="preserve"> (Secretaria Municipal de Educação) foi eleita como presidente, a conselheira Milani Del Priori (Abadeus) como vice-presidente e a conselheira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  <w:t>Mariane Martins Pescador</w:t>
      </w:r>
      <w:r>
        <w:rPr/>
        <w:t xml:space="preserve"> (Procuradoria-geral do Município) como secretária. </w:t>
      </w:r>
      <w:r>
        <w:rPr>
          <w:sz w:val="24"/>
          <w:szCs w:val="24"/>
        </w:rPr>
        <w:t xml:space="preserve">Em seguida, as eleitas deram início a uma breve apresentação de como pretendem seguir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a</w:t>
      </w:r>
      <w:r>
        <w:rPr>
          <w:sz w:val="24"/>
          <w:szCs w:val="24"/>
        </w:rPr>
        <w:t xml:space="preserve"> ges</w:t>
      </w:r>
      <w:r>
        <w:rPr>
          <w:sz w:val="24"/>
          <w:szCs w:val="24"/>
        </w:rPr>
        <w:t>tão</w:t>
      </w:r>
      <w:r>
        <w:rPr>
          <w:sz w:val="24"/>
          <w:szCs w:val="24"/>
        </w:rPr>
        <w:t xml:space="preserve"> e a Presidente sugeriu aproveitar o restante da reunião para discutir-se a pauta. Na oportunidade, a Presidente questionou sobre a nova lei, sendo informado pelo conselheiro 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Vânio de Oliveira</w:t>
      </w:r>
      <w:r>
        <w:rPr>
          <w:color w:val="000000"/>
          <w:sz w:val="24"/>
          <w:szCs w:val="24"/>
        </w:rPr>
        <w:t xml:space="preserve"> (Federação de Comunidades Terapêuticas de Santa Catarina – FECOTESC)</w:t>
      </w:r>
      <w:r>
        <w:rPr>
          <w:sz w:val="24"/>
          <w:szCs w:val="24"/>
        </w:rPr>
        <w:t xml:space="preserve"> que esta já se encontra aprovada. A conselheira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Grasiela Deboita Gregório (Secretaria Municipal de Saúde) manifestou seu descontentamento com a condução individual do conselheiro responsável pela publicação da referida lei, a qual ocorreu sem o conhecimento prévio dos demais membros do Conselho. Foram discutidas alternativas para lidar com a questão, sendo sugerida, entre elas, a publicação de uma carta, encaminhada ao Procurador Geral, indicando que a referida lei não representa um consenso no âmbito do Conselho. Na sequência, o conselheiro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Vânio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 questionou sobre as leis do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COMAD de Blumenau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,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 destacando que este sempre foi considerado um exemplo de Conselho, e sugeriu que se avaliem suas normativas como possível referência para o aprimoramento das ações locais. Os conselheiros, após discussão, entraram em consenso quanto à necessidade de dar continuidade à elaboração da lei que vinha sendo conduzida pela Comissão, entendendo que o mais adequado é avançar com o processo, evitando retrocessos nas deliberações já iniciadas.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A Presidente destacou como uma de suas metas, durante os dois anos de gestão à frente do Conselho, evidenciar que a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Educação está, sim, comprometida com as políticas de prevenção ao uso de drogas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. Mencionou, ainda, a importância do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trabalho com enfoque multifocal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 nas escolas, ressaltando que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um texto lido em sala de aula, por exemplo na disciplina de Língua Portuguesa, não deve ser tratado apenas sob aspectos banais ou literários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, mas também deve contemplar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temáticas relevantes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, alinhadas à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BNCC -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1D35"/>
          <w:spacing w:val="0"/>
          <w:kern w:val="0"/>
          <w:sz w:val="24"/>
          <w:szCs w:val="24"/>
          <w:lang w:val="pt-BR" w:eastAsia="pt-BR" w:bidi="ar-SA"/>
        </w:rPr>
        <w:t>B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ase Nacional Comum Curricular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1D35"/>
          <w:spacing w:val="0"/>
          <w:kern w:val="0"/>
          <w:sz w:val="24"/>
          <w:szCs w:val="24"/>
          <w:lang w:val="pt-BR" w:eastAsia="pt-BR" w:bidi="ar-SA"/>
        </w:rPr>
        <w:t xml:space="preserve"> -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, como a prevenção ao uso de substâncias psicoativas. </w:t>
      </w:r>
      <w:r>
        <w:rPr>
          <w:b w:val="false"/>
          <w:bCs w:val="false"/>
          <w:sz w:val="24"/>
          <w:szCs w:val="24"/>
        </w:rPr>
        <w:t xml:space="preserve">Apresentou como exemplo o projeto desenvolvido com as </w:t>
      </w:r>
      <w:r>
        <w:rPr>
          <w:rStyle w:val="Nfaseforte"/>
          <w:b w:val="false"/>
          <w:bCs w:val="false"/>
          <w:sz w:val="24"/>
          <w:szCs w:val="24"/>
        </w:rPr>
        <w:t>turmas de 9º ano</w:t>
      </w:r>
      <w:r>
        <w:rPr>
          <w:b w:val="false"/>
          <w:bCs w:val="false"/>
          <w:sz w:val="24"/>
          <w:szCs w:val="24"/>
        </w:rPr>
        <w:t xml:space="preserve"> da rede municipal de ensino, que resultou na produção de </w:t>
      </w:r>
      <w:r>
        <w:rPr>
          <w:rStyle w:val="Nfaseforte"/>
          <w:b w:val="false"/>
          <w:bCs w:val="false"/>
          <w:sz w:val="24"/>
          <w:szCs w:val="24"/>
        </w:rPr>
        <w:t>infográficos</w:t>
      </w:r>
      <w:r>
        <w:rPr>
          <w:b w:val="false"/>
          <w:bCs w:val="false"/>
          <w:sz w:val="24"/>
          <w:szCs w:val="24"/>
        </w:rPr>
        <w:t xml:space="preserve"> com o tema </w:t>
      </w:r>
      <w:r>
        <w:rPr>
          <w:rStyle w:val="Nfaseforte"/>
          <w:b w:val="false"/>
          <w:bCs w:val="false"/>
          <w:sz w:val="24"/>
          <w:szCs w:val="24"/>
        </w:rPr>
        <w:t>“Não Vaporesa”</w:t>
      </w:r>
      <w:r>
        <w:rPr>
          <w:b w:val="false"/>
          <w:bCs w:val="false"/>
          <w:sz w:val="24"/>
          <w:szCs w:val="24"/>
        </w:rPr>
        <w:t xml:space="preserve"> – um trocadilho com a palavra "vape", em alusão ao cigarro eletrônico. O trabalho envolveu, de forma interdisciplinar, as disciplinas de </w:t>
      </w:r>
      <w:r>
        <w:rPr>
          <w:rStyle w:val="Nfaseforte"/>
          <w:b w:val="false"/>
          <w:bCs w:val="false"/>
          <w:sz w:val="24"/>
          <w:szCs w:val="24"/>
        </w:rPr>
        <w:t>Artes e Língua Portuguesa</w:t>
      </w:r>
      <w:r>
        <w:rPr>
          <w:b w:val="false"/>
          <w:bCs w:val="false"/>
          <w:sz w:val="24"/>
          <w:szCs w:val="24"/>
        </w:rPr>
        <w:t xml:space="preserve">. Cinco turmas foram </w:t>
      </w:r>
      <w:r>
        <w:rPr>
          <w:rStyle w:val="Nfaseforte"/>
          <w:b w:val="false"/>
          <w:bCs w:val="false"/>
          <w:sz w:val="24"/>
          <w:szCs w:val="24"/>
        </w:rPr>
        <w:t>premiadas com equipamentos como notebooks e televisores</w:t>
      </w:r>
      <w:r>
        <w:rPr>
          <w:b w:val="false"/>
          <w:bCs w:val="false"/>
          <w:sz w:val="24"/>
          <w:szCs w:val="24"/>
        </w:rPr>
        <w:t xml:space="preserve">, sendo os recursos provenientes do </w:t>
      </w:r>
      <w:r>
        <w:rPr>
          <w:rStyle w:val="Nfaseforte"/>
          <w:b w:val="false"/>
          <w:bCs w:val="false"/>
          <w:sz w:val="24"/>
          <w:szCs w:val="24"/>
        </w:rPr>
        <w:t>PROMU</w:t>
      </w:r>
      <w:r>
        <w:rPr>
          <w:rStyle w:val="Nfaseforte"/>
          <w:b w:val="false"/>
          <w:bCs w:val="false"/>
          <w:sz w:val="24"/>
          <w:szCs w:val="24"/>
        </w:rPr>
        <w:t>D -</w:t>
      </w:r>
      <w:r>
        <w:rPr>
          <w:rStyle w:val="Nfaseforte"/>
          <w:b w:val="false"/>
          <w:bCs w:val="false"/>
          <w:sz w:val="24"/>
          <w:szCs w:val="24"/>
        </w:rPr>
        <w:t>P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rograma de 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T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ratamento para o 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A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tendimento 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E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xclusivo de 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M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ulheres com 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D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iagnóstico de Transtorno de Dependência Química</w:t>
      </w:r>
      <w:r>
        <w:rPr>
          <w:rStyle w:val="Nfasefort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-</w:t>
      </w:r>
      <w:r>
        <w:rPr>
          <w:b w:val="false"/>
          <w:bCs w:val="false"/>
          <w:sz w:val="24"/>
          <w:szCs w:val="24"/>
        </w:rPr>
        <w:t xml:space="preserve"> que prevê verba específica para ações dessa natureza. A partir do </w:t>
      </w:r>
      <w:r>
        <w:rPr>
          <w:rStyle w:val="Nfaseforte"/>
          <w:b w:val="false"/>
          <w:bCs w:val="false"/>
          <w:sz w:val="24"/>
          <w:szCs w:val="24"/>
        </w:rPr>
        <w:t>infográfico vencedor</w:t>
      </w:r>
      <w:r>
        <w:rPr>
          <w:b w:val="false"/>
          <w:bCs w:val="false"/>
          <w:sz w:val="24"/>
          <w:szCs w:val="24"/>
        </w:rPr>
        <w:t xml:space="preserve">, foram impressas </w:t>
      </w:r>
      <w:r>
        <w:rPr>
          <w:rStyle w:val="Nfaseforte"/>
          <w:b w:val="false"/>
          <w:bCs w:val="false"/>
          <w:sz w:val="24"/>
          <w:szCs w:val="24"/>
        </w:rPr>
        <w:t>300 cópias</w:t>
      </w:r>
      <w:r>
        <w:rPr>
          <w:b w:val="false"/>
          <w:bCs w:val="false"/>
          <w:sz w:val="24"/>
          <w:szCs w:val="24"/>
        </w:rPr>
        <w:t xml:space="preserve"> para distribuição em escolas e demais instituições do município.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O conselheiro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Vânio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 destacou a importância de fortalecer as ações de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prevenção ao uso de drogas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 e sugeriu que o COMAD avalie a possibilidade de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criação de um banco de dados com palestrantes cadastrados e credenciados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, que ficariam disponíveis para atender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instituições, escolas, igrejas e demais entidades interessadas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 em realizar palestras e atividades voltadas à temática da prevenção. Em resposta, a Presidente esclareceu que o COMAD não possui competência para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credenciar formalmente palestrantes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, mas que é possível, futuramente,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lançar editais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 para que instituições interessadas apresentem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projetos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, quando o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Fundo Municipal sobre Drogas estiver em funcionamento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. </w:t>
      </w:r>
      <w:r>
        <w:rPr>
          <w:b w:val="false"/>
          <w:bCs w:val="false"/>
          <w:sz w:val="24"/>
          <w:szCs w:val="24"/>
        </w:rPr>
        <w:t xml:space="preserve">O conselheiro </w:t>
      </w:r>
      <w:r>
        <w:rPr>
          <w:rStyle w:val="Nfaseforte"/>
          <w:b w:val="false"/>
          <w:bCs w:val="false"/>
          <w:sz w:val="24"/>
          <w:szCs w:val="24"/>
        </w:rPr>
        <w:t>Vânio</w:t>
      </w:r>
      <w:r>
        <w:rPr>
          <w:b w:val="false"/>
          <w:bCs w:val="false"/>
          <w:sz w:val="24"/>
          <w:szCs w:val="24"/>
        </w:rPr>
        <w:t xml:space="preserve"> manifestou preocupação com a demora desse processo e destacou que </w:t>
      </w:r>
      <w:r>
        <w:rPr>
          <w:rStyle w:val="Nfaseforte"/>
          <w:b w:val="false"/>
          <w:bCs w:val="false"/>
          <w:sz w:val="24"/>
          <w:szCs w:val="24"/>
        </w:rPr>
        <w:t>frequentemente é convidado para ministrar palestras</w:t>
      </w:r>
      <w:r>
        <w:rPr>
          <w:b w:val="false"/>
          <w:bCs w:val="false"/>
          <w:sz w:val="24"/>
          <w:szCs w:val="24"/>
        </w:rPr>
        <w:t xml:space="preserve"> sobre prevenção, ressaltando a urgência de se viabilizar formas práticas de atender às demandas das instituições interessadas</w:t>
      </w:r>
      <w:r>
        <w:rPr>
          <w:b w:val="false"/>
          <w:bCs w:val="false"/>
        </w:rPr>
        <w:t xml:space="preserve">. </w:t>
      </w:r>
      <w:r>
        <w:rPr>
          <w:b w:val="false"/>
          <w:bCs w:val="false"/>
          <w:sz w:val="24"/>
          <w:szCs w:val="24"/>
        </w:rPr>
        <w:t xml:space="preserve">A Presidente complementou dizendo que a organização de ações como palestras e demais atividades de prevenção pode ser contemplada por meio de </w:t>
      </w:r>
      <w:r>
        <w:rPr>
          <w:rStyle w:val="Nfaseforte"/>
          <w:b w:val="false"/>
          <w:bCs w:val="false"/>
          <w:sz w:val="24"/>
          <w:szCs w:val="24"/>
        </w:rPr>
        <w:t xml:space="preserve">projetos submetidos ao PROMUD - </w:t>
      </w:r>
      <w:r>
        <w:rPr>
          <w:rStyle w:val="Nfaseforte"/>
          <w:b w:val="false"/>
          <w:bCs w:val="false"/>
          <w:sz w:val="24"/>
          <w:szCs w:val="24"/>
        </w:rPr>
        <w:t>P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rograma de 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T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ratamento para o 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A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tendimento 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E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xclusivo de 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M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ulheres com 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D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iagnóstico de Transtorno de Dependência Química</w:t>
      </w:r>
      <w:r>
        <w:rPr>
          <w:rStyle w:val="Nfasefort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- </w:t>
      </w:r>
      <w:r>
        <w:rPr>
          <w:b w:val="false"/>
          <w:bCs w:val="false"/>
          <w:sz w:val="24"/>
          <w:szCs w:val="24"/>
        </w:rPr>
        <w:t xml:space="preserve">uma vez que este programa dispõe de recursos para iniciativas voltadas à temática. Na sequência, a conselheira </w:t>
      </w:r>
      <w:r>
        <w:rPr>
          <w:rStyle w:val="Nfaseforte"/>
          <w:b w:val="false"/>
          <w:bCs w:val="false"/>
          <w:sz w:val="24"/>
          <w:szCs w:val="24"/>
        </w:rPr>
        <w:t>Milani Del Priori</w:t>
      </w:r>
      <w:r>
        <w:rPr>
          <w:b w:val="false"/>
          <w:bCs w:val="false"/>
          <w:sz w:val="24"/>
          <w:szCs w:val="24"/>
        </w:rPr>
        <w:t xml:space="preserve"> comentou sobre a </w:t>
      </w:r>
      <w:r>
        <w:rPr>
          <w:rStyle w:val="Nfaseforte"/>
          <w:b w:val="false"/>
          <w:bCs w:val="false"/>
          <w:sz w:val="24"/>
          <w:szCs w:val="24"/>
        </w:rPr>
        <w:t xml:space="preserve">Semana SIMPAT - Semana Integrada de Prevenção ao Uso de Drogas e Promoção da Paz - </w:t>
      </w:r>
      <w:r>
        <w:rPr>
          <w:b w:val="false"/>
          <w:bCs w:val="false"/>
          <w:sz w:val="24"/>
          <w:szCs w:val="24"/>
        </w:rPr>
        <w:t xml:space="preserve">ressaltando que </w:t>
      </w:r>
      <w:r>
        <w:rPr>
          <w:rStyle w:val="Nfaseforte"/>
          <w:b w:val="false"/>
          <w:bCs w:val="false"/>
          <w:sz w:val="24"/>
          <w:szCs w:val="24"/>
        </w:rPr>
        <w:t xml:space="preserve">casas e instituições como </w:t>
      </w:r>
      <w:r>
        <w:rPr>
          <w:rStyle w:val="Nfaseforte"/>
          <w:b w:val="false"/>
          <w:bCs w:val="false"/>
          <w:sz w:val="24"/>
          <w:szCs w:val="24"/>
        </w:rPr>
        <w:t xml:space="preserve">o </w:t>
      </w:r>
      <w:r>
        <w:rPr>
          <w:rStyle w:val="Nfaseforte"/>
          <w:b w:val="false"/>
          <w:bCs w:val="false"/>
          <w:sz w:val="24"/>
          <w:szCs w:val="24"/>
        </w:rPr>
        <w:t>Alcoólicos Anônimos - AA -, o PROERD - Programa Educacional de Resistência às Drogas e à Violênci</w:t>
      </w:r>
      <w:r>
        <w:rPr>
          <w:rStyle w:val="Nfaseforte"/>
          <w:b w:val="false"/>
          <w:bCs w:val="false"/>
          <w:sz w:val="24"/>
          <w:szCs w:val="24"/>
        </w:rPr>
        <w:t>a -</w:t>
      </w:r>
      <w:r>
        <w:rPr>
          <w:rStyle w:val="Nfaseforte"/>
          <w:b w:val="false"/>
          <w:bCs w:val="false"/>
          <w:sz w:val="24"/>
          <w:szCs w:val="24"/>
        </w:rPr>
        <w:t xml:space="preserve"> e outras organizações atuantes na área</w:t>
      </w:r>
      <w:r>
        <w:rPr>
          <w:b w:val="false"/>
          <w:bCs w:val="false"/>
          <w:sz w:val="24"/>
          <w:szCs w:val="24"/>
        </w:rPr>
        <w:t xml:space="preserve"> são plenamente capazes e preparadas para realizar esse trabalho de forma </w:t>
      </w:r>
      <w:r>
        <w:rPr>
          <w:rStyle w:val="Nfaseforte"/>
          <w:b w:val="false"/>
          <w:bCs w:val="false"/>
          <w:sz w:val="24"/>
          <w:szCs w:val="24"/>
        </w:rPr>
        <w:t>voluntária e eficaz</w:t>
      </w:r>
      <w:r>
        <w:rPr>
          <w:b w:val="false"/>
          <w:bCs w:val="false"/>
          <w:sz w:val="24"/>
          <w:szCs w:val="24"/>
        </w:rPr>
        <w:t xml:space="preserve">, contribuindo de maneira significativa com a rede de prevenção. A Presidente questionou sobre a </w:t>
      </w:r>
      <w:r>
        <w:rPr>
          <w:rStyle w:val="Nfaseforte"/>
          <w:b w:val="false"/>
          <w:bCs w:val="false"/>
          <w:sz w:val="24"/>
          <w:szCs w:val="24"/>
        </w:rPr>
        <w:t>quantidade de entidades que atualmente compõem o COMAD</w:t>
      </w:r>
      <w:r>
        <w:rPr>
          <w:b w:val="false"/>
          <w:bCs w:val="false"/>
          <w:sz w:val="24"/>
          <w:szCs w:val="24"/>
        </w:rPr>
        <w:t xml:space="preserve"> e se haveria a possibilidade de </w:t>
      </w:r>
      <w:r>
        <w:rPr>
          <w:rStyle w:val="Nfaseforte"/>
          <w:b w:val="false"/>
          <w:bCs w:val="false"/>
          <w:sz w:val="24"/>
          <w:szCs w:val="24"/>
        </w:rPr>
        <w:t>ampliar essa composição</w:t>
      </w:r>
      <w:r>
        <w:rPr>
          <w:b w:val="false"/>
          <w:bCs w:val="false"/>
          <w:sz w:val="24"/>
          <w:szCs w:val="24"/>
        </w:rPr>
        <w:t xml:space="preserve">. Em resposta, a conselheira </w:t>
      </w:r>
      <w:r>
        <w:rPr>
          <w:rStyle w:val="Nfaseforte"/>
          <w:b w:val="false"/>
          <w:bCs w:val="false"/>
          <w:sz w:val="24"/>
          <w:szCs w:val="24"/>
        </w:rPr>
        <w:t>Grasiela</w:t>
      </w:r>
      <w:r>
        <w:rPr>
          <w:b w:val="false"/>
          <w:bCs w:val="false"/>
          <w:sz w:val="24"/>
          <w:szCs w:val="24"/>
        </w:rPr>
        <w:t xml:space="preserve"> prestou os devidos esclarecimentos, informando os números atuais e detalhando a estrutura vigente do Conselho, sendo complementada pelo conselheiro </w:t>
      </w:r>
      <w:r>
        <w:rPr>
          <w:rStyle w:val="Nfaseforte"/>
          <w:b w:val="false"/>
          <w:bCs w:val="false"/>
          <w:sz w:val="24"/>
          <w:szCs w:val="24"/>
        </w:rPr>
        <w:t>Vânio</w:t>
      </w:r>
      <w:r>
        <w:rPr>
          <w:b w:val="false"/>
          <w:bCs w:val="false"/>
          <w:sz w:val="24"/>
          <w:szCs w:val="24"/>
        </w:rPr>
        <w:t xml:space="preserve">. Na sequência, a conselheira </w:t>
      </w:r>
      <w:r>
        <w:rPr>
          <w:rStyle w:val="Nfaseforte"/>
          <w:b w:val="false"/>
          <w:bCs w:val="false"/>
          <w:sz w:val="24"/>
          <w:szCs w:val="24"/>
        </w:rPr>
        <w:t>Milani</w:t>
      </w:r>
      <w:r>
        <w:rPr>
          <w:b w:val="false"/>
          <w:bCs w:val="false"/>
          <w:sz w:val="24"/>
          <w:szCs w:val="24"/>
        </w:rPr>
        <w:t xml:space="preserve"> ressaltou a </w:t>
      </w:r>
      <w:r>
        <w:rPr>
          <w:rStyle w:val="Nfaseforte"/>
          <w:b w:val="false"/>
          <w:bCs w:val="false"/>
          <w:sz w:val="24"/>
          <w:szCs w:val="24"/>
        </w:rPr>
        <w:t>necessidade de uma revisão completa das legislações relacionadas ao COMAD</w:t>
      </w:r>
      <w:r>
        <w:rPr>
          <w:b w:val="false"/>
          <w:bCs w:val="false"/>
          <w:sz w:val="24"/>
          <w:szCs w:val="24"/>
        </w:rPr>
        <w:t xml:space="preserve">, e alguns conselheiros comentaram sobre a </w:t>
      </w:r>
      <w:r>
        <w:rPr>
          <w:rStyle w:val="Nfaseforte"/>
          <w:b w:val="false"/>
          <w:bCs w:val="false"/>
          <w:sz w:val="24"/>
          <w:szCs w:val="24"/>
        </w:rPr>
        <w:t xml:space="preserve">possibilidade de </w:t>
      </w:r>
      <w:r>
        <w:rPr>
          <w:rStyle w:val="Nfaseforte"/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analisar</w:t>
      </w:r>
      <w:r>
        <w:rPr>
          <w:rStyle w:val="Nfaseforte"/>
          <w:b w:val="false"/>
          <w:bCs w:val="false"/>
          <w:sz w:val="24"/>
          <w:szCs w:val="24"/>
        </w:rPr>
        <w:t xml:space="preserve"> a inconstitucionalidade da legislação vigente</w:t>
      </w:r>
      <w:r>
        <w:rPr>
          <w:b w:val="false"/>
          <w:bCs w:val="false"/>
          <w:sz w:val="24"/>
          <w:szCs w:val="24"/>
        </w:rPr>
        <w:t xml:space="preserve">, como forma de viabilizar sua reformulação, considerando os </w:t>
      </w:r>
      <w:r>
        <w:rPr>
          <w:rStyle w:val="Nfaseforte"/>
          <w:b w:val="false"/>
          <w:bCs w:val="false"/>
          <w:sz w:val="24"/>
          <w:szCs w:val="24"/>
        </w:rPr>
        <w:t>entraves existentes no modelo atual</w:t>
      </w:r>
      <w:r>
        <w:rPr>
          <w:b w:val="false"/>
          <w:bCs w:val="false"/>
          <w:sz w:val="24"/>
          <w:szCs w:val="24"/>
        </w:rPr>
        <w:t xml:space="preserve"> e o fato de que, aparentemente, a referida norma </w:t>
      </w:r>
      <w:r>
        <w:rPr>
          <w:rStyle w:val="Nfaseforte"/>
          <w:b w:val="false"/>
          <w:bCs w:val="false"/>
          <w:sz w:val="24"/>
          <w:szCs w:val="24"/>
        </w:rPr>
        <w:t>não foi publicada no Diário Oficial</w:t>
      </w:r>
      <w:r>
        <w:rPr>
          <w:b w:val="false"/>
          <w:bCs w:val="false"/>
          <w:sz w:val="24"/>
          <w:szCs w:val="24"/>
        </w:rPr>
        <w:t xml:space="preserve">. A Presidente confirmou a </w:t>
      </w:r>
      <w:r>
        <w:rPr>
          <w:rStyle w:val="Nfaseforte"/>
          <w:b w:val="false"/>
          <w:bCs w:val="false"/>
          <w:sz w:val="24"/>
          <w:szCs w:val="24"/>
        </w:rPr>
        <w:t>realização de reuniões mensais extraordinárias</w:t>
      </w:r>
      <w:r>
        <w:rPr>
          <w:b w:val="false"/>
          <w:bCs w:val="false"/>
          <w:sz w:val="24"/>
          <w:szCs w:val="24"/>
        </w:rPr>
        <w:t xml:space="preserve">, proposta que foi </w:t>
      </w:r>
      <w:r>
        <w:rPr>
          <w:rStyle w:val="Nfaseforte"/>
          <w:b w:val="false"/>
          <w:bCs w:val="false"/>
          <w:sz w:val="24"/>
          <w:szCs w:val="24"/>
        </w:rPr>
        <w:t>acolhida e aprovada pelos demais conselheiros</w:t>
      </w:r>
      <w:r>
        <w:rPr>
          <w:b w:val="false"/>
          <w:bCs w:val="false"/>
          <w:sz w:val="24"/>
          <w:szCs w:val="24"/>
        </w:rPr>
        <w:t xml:space="preserve">. Ressaltou ainda que, </w:t>
      </w:r>
      <w:r>
        <w:rPr>
          <w:rStyle w:val="Nfaseforte"/>
          <w:b w:val="false"/>
          <w:bCs w:val="false"/>
          <w:sz w:val="24"/>
          <w:szCs w:val="24"/>
        </w:rPr>
        <w:t>caso alguma entidade tenha dúvida quanto à participação ou à convocação para as reuniões</w:t>
      </w:r>
      <w:r>
        <w:rPr>
          <w:b w:val="false"/>
          <w:bCs w:val="false"/>
          <w:sz w:val="24"/>
          <w:szCs w:val="24"/>
        </w:rPr>
        <w:t xml:space="preserve">, o Conselho se compromete a </w:t>
      </w:r>
      <w:r>
        <w:rPr>
          <w:rStyle w:val="Nfaseforte"/>
          <w:b w:val="false"/>
          <w:bCs w:val="false"/>
          <w:sz w:val="24"/>
          <w:szCs w:val="24"/>
        </w:rPr>
        <w:t>emitir uma carta convocatória formal</w:t>
      </w:r>
      <w:r>
        <w:rPr>
          <w:b w:val="false"/>
          <w:bCs w:val="false"/>
          <w:sz w:val="24"/>
          <w:szCs w:val="24"/>
        </w:rPr>
        <w:t xml:space="preserve">, a fim de garantir a ampla comunicação e o envolvimento de todas as instituições integrantes. </w:t>
      </w:r>
      <w:r>
        <w:rPr>
          <w:rFonts w:eastAsia="Arial" w:cs="Arial"/>
          <w:bCs/>
          <w:color w:val="000000"/>
          <w:sz w:val="24"/>
          <w:szCs w:val="24"/>
        </w:rPr>
        <w:t>E assim s</w:t>
      </w:r>
      <w:r>
        <w:rPr>
          <w:rFonts w:eastAsia="Arial" w:cs="Arial"/>
          <w:color w:val="000000"/>
          <w:sz w:val="24"/>
          <w:szCs w:val="24"/>
        </w:rPr>
        <w:t xml:space="preserve">em mais a ser tratado, deu por </w:t>
      </w:r>
      <w:r>
        <w:rPr>
          <w:rFonts w:eastAsia="Arial" w:cs="Arial"/>
          <w:color w:val="000000"/>
          <w:kern w:val="2"/>
          <w:sz w:val="24"/>
          <w:szCs w:val="24"/>
        </w:rPr>
        <w:t xml:space="preserve">encerrada </w:t>
      </w:r>
      <w:r>
        <w:rPr>
          <w:rFonts w:eastAsia="Arial" w:cs="Arial"/>
          <w:color w:val="000000"/>
          <w:sz w:val="24"/>
          <w:szCs w:val="24"/>
        </w:rPr>
        <w:t xml:space="preserve">a reunião, e eu, </w:t>
      </w:r>
      <w:r>
        <w:rPr>
          <w:rFonts w:eastAsia="Arial" w:cs="Arial"/>
          <w:color w:val="000000"/>
          <w:kern w:val="0"/>
          <w:sz w:val="24"/>
          <w:szCs w:val="24"/>
          <w:lang w:val="pt-BR" w:eastAsia="pt-BR" w:bidi="ar-SA"/>
        </w:rPr>
        <w:t xml:space="preserve">Giovana </w:t>
      </w:r>
      <w:r>
        <w:rPr>
          <w:rFonts w:eastAsia="Arial" w:cs="Arial"/>
          <w:color w:val="000000"/>
          <w:sz w:val="24"/>
          <w:szCs w:val="24"/>
        </w:rPr>
        <w:t>Mendes Beloli, lavrei-a presente ata, que após lida e aprovada, será assinada por todos os presentes.</w:t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Grasiela Deboita Gregório (Secretaria Municipal de Saúde); </w:t>
      </w:r>
    </w:p>
    <w:p>
      <w:pPr>
        <w:pStyle w:val="NormalWeb"/>
        <w:spacing w:lineRule="atLeast" w:line="300" w:before="280" w:after="0"/>
        <w:jc w:val="both"/>
        <w:textAlignment w:val="baseline"/>
        <w:rPr>
          <w:color w:val="000000"/>
        </w:rPr>
      </w:pPr>
      <w:r>
        <w:rPr>
          <w:color w:val="000000"/>
        </w:rPr>
        <w:t xml:space="preserve">Carla Fernanda Medeiros Febel (Secretaria Municipal de Educação); </w:t>
      </w:r>
    </w:p>
    <w:p>
      <w:pPr>
        <w:pStyle w:val="NormalWeb"/>
        <w:spacing w:lineRule="atLeast" w:line="300" w:before="280" w:after="0"/>
        <w:jc w:val="both"/>
        <w:textAlignment w:val="baseline"/>
        <w:rPr>
          <w:color w:val="000000"/>
        </w:rPr>
      </w:pPr>
      <w:r>
        <w:rPr>
          <w:color w:val="000000"/>
        </w:rPr>
        <w:t xml:space="preserve">Greice Dutra (Vigilância Sanitária); </w:t>
      </w:r>
    </w:p>
    <w:p>
      <w:pPr>
        <w:pStyle w:val="NormalWeb"/>
        <w:spacing w:lineRule="atLeast" w:line="300" w:before="280" w:after="0"/>
        <w:jc w:val="both"/>
        <w:textAlignment w:val="baseline"/>
        <w:rPr>
          <w:color w:val="000000"/>
        </w:rPr>
      </w:pPr>
      <w:r>
        <w:rPr>
          <w:color w:val="000000"/>
        </w:rPr>
        <w:t xml:space="preserve">Joelson Andreza Martins (Secretaria Municipal de Assistência Social); </w:t>
      </w:r>
    </w:p>
    <w:p>
      <w:pPr>
        <w:pStyle w:val="NormalWeb"/>
        <w:spacing w:lineRule="atLeast" w:line="300" w:before="280" w:after="0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  <w:t>Mariane Martins Pescador</w:t>
      </w:r>
      <w:r>
        <w:rPr>
          <w:color w:val="000000"/>
        </w:rPr>
        <w:t xml:space="preserve"> (Procuradoria-geral do Município); </w:t>
      </w:r>
    </w:p>
    <w:p>
      <w:pPr>
        <w:pStyle w:val="NormalWeb"/>
        <w:spacing w:lineRule="atLeast" w:line="300" w:before="280" w:after="0"/>
        <w:jc w:val="both"/>
        <w:textAlignment w:val="baseline"/>
        <w:rPr/>
      </w:pPr>
      <w:r>
        <w:rPr>
          <w:color w:val="000000"/>
        </w:rPr>
        <w:t xml:space="preserve">Milani Del Priori (Abadeus); </w:t>
      </w:r>
    </w:p>
    <w:p>
      <w:pPr>
        <w:pStyle w:val="NormalWeb"/>
        <w:spacing w:lineRule="atLeast" w:line="300" w:before="280" w:after="0"/>
        <w:jc w:val="both"/>
        <w:textAlignment w:val="baseline"/>
        <w:rPr>
          <w:color w:val="000000"/>
        </w:rPr>
      </w:pPr>
      <w:r>
        <w:rPr>
          <w:color w:val="000000"/>
        </w:rPr>
        <w:t xml:space="preserve">Manoel Rozeng (Lions Club); </w:t>
      </w:r>
    </w:p>
    <w:p>
      <w:pPr>
        <w:pStyle w:val="NormalWeb"/>
        <w:spacing w:lineRule="atLeast" w:line="300" w:before="280" w:after="0"/>
        <w:jc w:val="both"/>
        <w:textAlignment w:val="baseline"/>
        <w:rPr/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Vânio de Oliveira</w:t>
      </w:r>
      <w:r>
        <w:rPr>
          <w:color w:val="000000"/>
        </w:rPr>
        <w:t xml:space="preserve"> (Federação de Comunidades Terapêuticas de Santa Catarina – FECOTESC); </w:t>
      </w:r>
    </w:p>
    <w:p>
      <w:pPr>
        <w:pStyle w:val="NormalWeb"/>
        <w:spacing w:lineRule="atLeast" w:line="300" w:before="280" w:after="0"/>
        <w:jc w:val="both"/>
        <w:textAlignment w:val="baseline"/>
        <w:rPr>
          <w:color w:val="000000"/>
        </w:rPr>
      </w:pPr>
      <w:r>
        <w:rPr>
          <w:color w:val="000000"/>
        </w:rPr>
        <w:t xml:space="preserve">Amâncio dos Passos Grigorio  (Bairro da Juventude); </w:t>
      </w:r>
    </w:p>
    <w:p>
      <w:pPr>
        <w:pStyle w:val="NormalWeb"/>
        <w:spacing w:lineRule="atLeast" w:line="300" w:before="280" w:after="0"/>
        <w:jc w:val="both"/>
        <w:textAlignment w:val="baseline"/>
        <w:rPr>
          <w:color w:val="000000"/>
        </w:rPr>
      </w:pPr>
      <w:r>
        <w:rPr>
          <w:color w:val="000000"/>
        </w:rPr>
        <w:t>Alba de Souza (Grupo de Apoio e Prevenção a Aids de Criciúma- GAPAC).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Hyperlink1">
    <w:name w:val="Hyperlink1"/>
    <w:basedOn w:val="DefaultParagraphFont"/>
    <w:qFormat/>
    <w:rPr>
      <w:color w:val="0563C1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Appleconvertedspace">
    <w:name w:val="apple-converted-space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1">
    <w:name w:val="Cabeçalho1"/>
    <w:basedOn w:val="Normal"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>
    <w:name w:val="Rodapé1"/>
    <w:basedOn w:val="Normal"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11464</TotalTime>
  <Application>LibreOffice/7.0.1.2$Windows_X86_64 LibreOffice_project/7cbcfc562f6eb6708b5ff7d7397325de9e764452</Application>
  <Pages>3</Pages>
  <Words>1164</Words>
  <Characters>6829</Characters>
  <CharactersWithSpaces>7996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2025-03-07T01:55:00Z</dcterms:created>
  <dc:creator>informatica</dc:creator>
  <dc:description/>
  <dc:language>pt-BR</dc:language>
  <cp:lastModifiedBy/>
  <cp:lastPrinted>2025-04-01T09:50:33Z</cp:lastPrinted>
  <dcterms:modified xsi:type="dcterms:W3CDTF">2025-04-14T11:28:21Z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