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Conselho Municipal de Políticas Públicas sobre Álcool, outras Drogas e Dependências – COMAD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Ata n° 05/2025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Ata da Reunião Extraordinária do Conselho Municipal de Políticas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/>
          <w:bCs w:val="false"/>
          <w:sz w:val="28"/>
          <w:szCs w:val="28"/>
        </w:rPr>
        <w:t>Públicas sobre Álcool, outras Drogas e Dependências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eastAsia="Calibri" w:ascii="Times New Roman" w:hAnsi="Times New Roman"/>
          <w:b/>
          <w:color w:val="auto"/>
          <w:kern w:val="0"/>
          <w:sz w:val="28"/>
          <w:szCs w:val="28"/>
          <w:lang w:val="pt-BR" w:eastAsia="en-US" w:bidi="ar-SA"/>
        </w:rPr>
        <w:t>10</w:t>
      </w:r>
      <w:r>
        <w:rPr>
          <w:rFonts w:ascii="Times New Roman" w:hAnsi="Times New Roman"/>
          <w:b/>
          <w:sz w:val="28"/>
          <w:szCs w:val="28"/>
        </w:rPr>
        <w:t>/06/2025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Ao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décimo </w:t>
      </w:r>
      <w:r>
        <w:rPr>
          <w:rFonts w:ascii="Times New Roman" w:hAnsi="Times New Roman"/>
          <w:sz w:val="24"/>
          <w:szCs w:val="24"/>
        </w:rPr>
        <w:t xml:space="preserve">dia do mês de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 xml:space="preserve">junho </w:t>
      </w:r>
      <w:r>
        <w:rPr>
          <w:rFonts w:ascii="Times New Roman" w:hAnsi="Times New Roman"/>
          <w:sz w:val="24"/>
          <w:szCs w:val="24"/>
        </w:rPr>
        <w:t xml:space="preserve">de dois mil e vinte e cinco, aconteceu a reunião Extraordinária do Conselho Municipal de Políticas </w:t>
      </w:r>
      <w:r>
        <w:rPr>
          <w:rFonts w:ascii="Times New Roman" w:hAnsi="Times New Roman"/>
          <w:b w:val="false"/>
          <w:bCs w:val="false"/>
          <w:sz w:val="24"/>
          <w:szCs w:val="24"/>
        </w:rPr>
        <w:t>Públicas sobre Álcool, outras Drogas e Dependências</w:t>
      </w:r>
      <w:r>
        <w:rPr>
          <w:rFonts w:ascii="Times New Roman" w:hAnsi="Times New Roman"/>
          <w:sz w:val="24"/>
          <w:szCs w:val="24"/>
        </w:rPr>
        <w:t xml:space="preserve"> – COMAD, de forma presencial. Estavam presentes os(as) seguintes conselheiros(as): </w:t>
      </w:r>
      <w:r>
        <w:rPr>
          <w:rFonts w:ascii="Times New Roman" w:hAnsi="Times New Roman"/>
          <w:color w:val="000000"/>
          <w:sz w:val="24"/>
          <w:szCs w:val="24"/>
        </w:rPr>
        <w:t xml:space="preserve">Katiane Figueiredo (Secretaria Municipal de Saúde); Carla Fernanda Medeiros Febel (Secretaria Municipal de Educação); Greice Dutra (Vigilância Sanitária); Joelson Andreza Martins (Secretaria Municipal de Assistência Social);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rFonts w:ascii="Times New Roman" w:hAnsi="Times New Roman"/>
          <w:color w:val="000000"/>
          <w:sz w:val="24"/>
          <w:szCs w:val="24"/>
        </w:rPr>
        <w:t xml:space="preserve"> (Procuradoria-geral do Município);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Francisco Guimarães da Rosa</w:t>
      </w:r>
      <w:r>
        <w:rPr>
          <w:rFonts w:ascii="Times New Roman" w:hAnsi="Times New Roman"/>
          <w:color w:val="000000"/>
          <w:sz w:val="24"/>
          <w:szCs w:val="24"/>
        </w:rPr>
        <w:t xml:space="preserve"> (Lions Club);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rFonts w:ascii="Times New Roman" w:hAnsi="Times New Roman"/>
          <w:color w:val="000000"/>
          <w:sz w:val="24"/>
          <w:szCs w:val="24"/>
        </w:rPr>
        <w:t xml:space="preserve"> (Federação de Comunidades Terapêuticas de Santa Catarina – FECOTESC); Alba de Souza Schmitz (Grupo de Apoio e Prevenção a AIDS de Criciúma – GAPAC). </w:t>
      </w:r>
      <w:r>
        <w:rPr>
          <w:rStyle w:val="Nfaseforte"/>
          <w:rFonts w:ascii="Times New Roman" w:hAnsi="Times New Roman"/>
          <w:b w:val="false"/>
          <w:bCs w:val="false"/>
          <w:color w:val="000000"/>
          <w:sz w:val="24"/>
          <w:szCs w:val="24"/>
        </w:rPr>
        <w:t>A Presidente Carla Fernanda Medeiros Febel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, representante da Secretaria Municipal de Educação, deu início à reunião agradecendo a presença de todos e apresentou a Sra. Débora Goulart Acacio, enfermeira atuante no CAPS AD. Informou que Débora assumirá como titular da vaga da Secretaria Municipal de Saúde, em substituição à conselheira Grasiela Deboita Gregório, que contribuiu significativamente para o crescimento do colegiado, mas que, por motivos pessoais e de saúde, solicitou seu desligamento. </w:t>
      </w:r>
      <w:r>
        <w:rPr>
          <w:rFonts w:ascii="Times New Roman" w:hAnsi="Times New Roman"/>
          <w:sz w:val="24"/>
          <w:szCs w:val="24"/>
        </w:rPr>
        <w:t xml:space="preserve">Diante dessa situação, o Conselho solicitou à Secretaria de Saúde a indicação de um representante do CAPS AD. A Presidente destacou, ainda, que na nova proposta de Lei do Conselho chegou-se a considerar a criação de uma cadeira exclusiva para o CAPS AD, tamanha a importância do serviço prestado. A Sra. Débora manifestou interesse em integrar o Conselho, ressaltando a importância do trabalho em rede diante dos desafios enfrentados na área da saúde mental. Como o decreto de nomeação ainda não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>havia sido</w:t>
      </w:r>
      <w:r>
        <w:rPr>
          <w:rFonts w:ascii="Times New Roman" w:hAnsi="Times New Roman"/>
          <w:sz w:val="24"/>
          <w:szCs w:val="24"/>
        </w:rPr>
        <w:t xml:space="preserve"> publicado, sua participação na reunião ocorreu na condição de ouvinte, sendo acompanhada pela conselheira suplente </w:t>
      </w:r>
      <w:r>
        <w:rPr>
          <w:rFonts w:ascii="Times New Roman" w:hAnsi="Times New Roman"/>
          <w:color w:val="000000"/>
          <w:sz w:val="24"/>
          <w:szCs w:val="24"/>
        </w:rPr>
        <w:t xml:space="preserve">Katiane Figueiredo (Secretaria Municipal de Saúde) </w:t>
      </w:r>
      <w:r>
        <w:rPr>
          <w:rFonts w:ascii="Times New Roman" w:hAnsi="Times New Roman"/>
          <w:sz w:val="24"/>
          <w:szCs w:val="24"/>
        </w:rPr>
        <w:t xml:space="preserve">que esteve presente acompanhando o processo de transição.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Na sequência, </w:t>
      </w:r>
      <w:r>
        <w:rPr>
          <w:rStyle w:val="Nfaseforte"/>
          <w:rFonts w:ascii="Times New Roman" w:hAnsi="Times New Roman"/>
          <w:b w:val="false"/>
          <w:bCs w:val="false"/>
          <w:color w:val="000000"/>
          <w:sz w:val="24"/>
          <w:szCs w:val="24"/>
        </w:rPr>
        <w:t>a Presidente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informou que a pauta da reunião já estava definida, mas comunicou ao conselheiro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(Federação de Comunidades Terapêuticas de Santa Catarina – FECOTESC) que sua solicitação de fala seria inserida no item “Assuntos Gerais”. O conselheiro Vânio solicitou prioridade devido à necessidade de se ausentar antes do encerramento. A Presidente acolheu o pedido e comprometeu-se a adiantar os pontos prioritários da pauta, concedendo-lhe a palavra em seguida. </w:t>
      </w:r>
      <w:r>
        <w:rPr>
          <w:rFonts w:ascii="Times New Roman" w:hAnsi="Times New Roman"/>
          <w:sz w:val="24"/>
          <w:szCs w:val="24"/>
        </w:rPr>
        <w:t xml:space="preserve">Foi informado que a comissão responsável pela revisão da Lei do COMAD está em andamento e que </w:t>
      </w:r>
      <w:r>
        <w:rPr>
          <w:rFonts w:eastAsia="Calibri" w:cs="Tahoma" w:ascii="Times New Roman" w:hAnsi="Times New Roman"/>
          <w:kern w:val="0"/>
          <w:sz w:val="24"/>
          <w:szCs w:val="24"/>
          <w:lang w:val="pt-BR" w:eastAsia="en-US" w:bidi="ar-SA"/>
        </w:rPr>
        <w:t>a</w:t>
      </w:r>
      <w:r>
        <w:rPr>
          <w:rFonts w:ascii="Times New Roman" w:hAnsi="Times New Roman"/>
          <w:sz w:val="24"/>
          <w:szCs w:val="24"/>
        </w:rPr>
        <w:t xml:space="preserve"> vaga </w:t>
      </w:r>
      <w:r>
        <w:rPr>
          <w:rFonts w:eastAsia="Calibri" w:cs="Tahoma" w:ascii="Times New Roman" w:hAnsi="Times New Roman"/>
          <w:color w:val="auto"/>
          <w:kern w:val="0"/>
          <w:sz w:val="24"/>
          <w:szCs w:val="24"/>
          <w:lang w:val="pt-BR" w:eastAsia="en-US" w:bidi="ar-SA"/>
        </w:rPr>
        <w:t>que pertencia à</w:t>
      </w:r>
      <w:r>
        <w:rPr>
          <w:rFonts w:ascii="Times New Roman" w:hAnsi="Times New Roman"/>
          <w:sz w:val="24"/>
          <w:szCs w:val="24"/>
        </w:rPr>
        <w:t xml:space="preserve"> Secretaria de Saúde estava em aberto e seria substituída. A presidente sugeriu que Débora passe a integrar a Comissão de Legislação, antes representada pela conselheira Grasiela. Ressaltou-se que essa comissão é responsável por revisar as leis e os documentos antes de sua submissão ao plenário. A conselheira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rFonts w:ascii="Times New Roman" w:hAnsi="Times New Roman"/>
          <w:color w:val="000000"/>
          <w:sz w:val="24"/>
          <w:szCs w:val="24"/>
        </w:rPr>
        <w:t xml:space="preserve"> (Procuradoria-geral do Município) </w:t>
      </w:r>
      <w:r>
        <w:rPr>
          <w:rFonts w:ascii="Times New Roman" w:hAnsi="Times New Roman"/>
          <w:sz w:val="24"/>
          <w:szCs w:val="24"/>
        </w:rPr>
        <w:t xml:space="preserve">relatou que, por se tratar de uma legislação extensa, foi decidido que a análise ficará restrita à parte que trata da atuação do COMAD. As demais seções da lei, relacionadas a outras secretarias, serão tratadas por meio de ofícios endereçados às Secretarias da Saúde e da Educação, para que verifiquem a necessidade de revisão dos respectivos dispositivos legais. A conselheira </w:t>
      </w:r>
      <w:r>
        <w:rPr>
          <w:rFonts w:ascii="Times New Roman" w:hAnsi="Times New Roman"/>
          <w:color w:val="000000"/>
          <w:sz w:val="24"/>
          <w:szCs w:val="24"/>
        </w:rPr>
        <w:t>Greice Dutra (Vigilância Sanitária)</w:t>
      </w:r>
      <w:r>
        <w:rPr>
          <w:rFonts w:ascii="Times New Roman" w:hAnsi="Times New Roman"/>
          <w:sz w:val="24"/>
          <w:szCs w:val="24"/>
        </w:rPr>
        <w:t xml:space="preserve"> apoiou a iniciativa e informou que já havia iniciado um levantamento de artigos que envolvem tanto a Vigilância Sanitária quanto a Educação, comprometendo-se a compartilhar esse material com a comissão. A conselheira Mariane reiterou que o ofício visa formalizar o posicionamento do COMAD, destacando que a revisão dos demais artigos não será conduzida pelo Conselho. </w:t>
      </w:r>
      <w:r>
        <w:rPr>
          <w:rStyle w:val="Nfaseforte"/>
          <w:rFonts w:ascii="Times New Roman" w:hAnsi="Times New Roman"/>
          <w:b w:val="false"/>
          <w:bCs w:val="false"/>
          <w:color w:val="000000"/>
          <w:sz w:val="24"/>
          <w:szCs w:val="24"/>
        </w:rPr>
        <w:t>A Presidente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informou que a conselheira Milani Del Priori (ABADEUS), esteve em reunião recente na Câmara de Vereadores e dialogou com alguns parlamentares sobre a proposta de alteração legislativa. Os vereadores manifestaram apoio à tramitação do projeto, comprometendo-se a incluí-lo na pauta assim que for submetido oficialmente 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>comentou sobre</w:t>
      </w:r>
      <w:r>
        <w:rPr>
          <w:rFonts w:ascii="Times New Roman" w:hAnsi="Times New Roman"/>
          <w:sz w:val="24"/>
          <w:szCs w:val="24"/>
        </w:rPr>
        <w:t xml:space="preserve"> a criação do Fundo Municipal, considerada uma das partes mais sensíveis da proposta. Foi sugerido um contato com a Secretaria da Fazenda para tratar do tema, tendo em vista os aspectos técnicos e orçamentários envolvidos. A Presidente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t-BR" w:eastAsia="pt-BR" w:bidi="ar-SA"/>
        </w:rPr>
        <w:t>comentou</w:t>
      </w:r>
      <w:r>
        <w:rPr>
          <w:rFonts w:ascii="Times New Roman" w:hAnsi="Times New Roman"/>
          <w:sz w:val="24"/>
          <w:szCs w:val="24"/>
        </w:rPr>
        <w:t xml:space="preserve"> que a comissão continuará reunindo-se nas próximas semanas para finalizar o texto e dar seguimento aos trâmites legais.</w:t>
      </w:r>
    </w:p>
    <w:p>
      <w:pPr>
        <w:pStyle w:val="Normal"/>
        <w:jc w:val="both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rPr/>
      </w:pPr>
      <w:r>
        <w:rPr/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eastAsia="Arial" w:cs="Arial"/>
          <w:b w:val="false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pPr>
      <w:r>
        <w:rPr>
          <w:rFonts w:eastAsia="Arial" w:cs="Arial"/>
          <w:b w:val="false"/>
          <w:bCs w:val="false"/>
          <w:color w:val="000000"/>
          <w:kern w:val="0"/>
          <w:sz w:val="24"/>
          <w:szCs w:val="24"/>
          <w:lang w:val="pt-BR" w:eastAsia="en-US" w:bidi="ar-SA"/>
        </w:rPr>
      </w:r>
    </w:p>
    <w:p>
      <w:pPr>
        <w:pStyle w:val="NormalWeb"/>
        <w:spacing w:lineRule="atLeast" w:line="300" w:before="280" w:after="0"/>
        <w:jc w:val="both"/>
        <w:textAlignment w:val="baseline"/>
        <w:rPr/>
      </w:pPr>
      <w:r>
        <w:rPr>
          <w:rFonts w:eastAsia="Arial" w:cs="Arial"/>
          <w:bCs/>
          <w:color w:val="000000"/>
          <w:kern w:val="0"/>
          <w:sz w:val="24"/>
          <w:szCs w:val="24"/>
          <w:lang w:val="pt-BR" w:eastAsia="en-US" w:bidi="ar-SA"/>
        </w:rPr>
        <w:t>E</w:t>
      </w:r>
      <w:r>
        <w:rPr>
          <w:rFonts w:eastAsia="Arial" w:cs="Arial"/>
          <w:color w:val="000000"/>
          <w:sz w:val="24"/>
          <w:szCs w:val="24"/>
        </w:rPr>
        <w:t xml:space="preserve"> eu, </w:t>
      </w:r>
      <w:r>
        <w:rPr>
          <w:rFonts w:eastAsia="Arial" w:cs="Arial"/>
          <w:color w:val="000000"/>
          <w:kern w:val="0"/>
          <w:sz w:val="24"/>
          <w:szCs w:val="24"/>
          <w:lang w:val="pt-BR" w:eastAsia="pt-BR" w:bidi="ar-SA"/>
        </w:rPr>
        <w:t xml:space="preserve">Giovana Mendes Beloli, </w:t>
      </w:r>
      <w:r>
        <w:rPr>
          <w:rFonts w:eastAsia="Arial" w:cs="Arial"/>
          <w:color w:val="000000"/>
          <w:sz w:val="24"/>
          <w:szCs w:val="24"/>
        </w:rPr>
        <w:t>lavrei-a presente ata, que após lida e aprovada, será assinada por todos os presentes.</w:t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Katiane Figueiredo (Secretaria Municipal de Saúde);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Carla Fernanda Medeiros Febel (Secretaria Municipal de Educação);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Greice Dutra (Vigilância Sanitária);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Joelson Andreza Martins (Secretaria Municipal de Assistência Social);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pt-BR" w:eastAsia="pt-BR" w:bidi="ar-SA"/>
        </w:rPr>
        <w:t>Mariane Martins Pescador</w:t>
      </w:r>
      <w:r>
        <w:rPr>
          <w:color w:val="000000"/>
          <w:sz w:val="24"/>
          <w:szCs w:val="24"/>
        </w:rPr>
        <w:t xml:space="preserve"> (Procuradoria-geral do Município);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Francisco Guimarães da Rosa</w:t>
      </w:r>
      <w:r>
        <w:rPr>
          <w:color w:val="000000"/>
          <w:sz w:val="24"/>
          <w:szCs w:val="24"/>
        </w:rPr>
        <w:t xml:space="preserve"> (Lions Club); 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Vânio de Oliveira</w:t>
      </w:r>
      <w:r>
        <w:rPr>
          <w:color w:val="000000"/>
          <w:sz w:val="24"/>
          <w:szCs w:val="24"/>
        </w:rPr>
        <w:t xml:space="preserve"> (Federação de Comunidades Terapêuticas de Santa Catarina – FECOTESC);</w:t>
      </w:r>
    </w:p>
    <w:p>
      <w:pPr>
        <w:pStyle w:val="NormalWeb"/>
        <w:spacing w:lineRule="atLeast" w:line="300" w:before="337" w:after="5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Alba de Souza Schmitz (Grupo de Apoio e Prevenção a AIDS de Criciúma – GAPAC). </w:t>
      </w:r>
    </w:p>
    <w:p>
      <w:pPr>
        <w:pStyle w:val="NormalWeb"/>
        <w:spacing w:lineRule="atLeast" w:line="300" w:before="280"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lnNumType w:countBy="1" w:restart="continuous" w:distance="28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1">
    <w:name w:val="Hyperlink1"/>
    <w:basedOn w:val="DefaultParagraphFont"/>
    <w:qFormat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Appleconvertedspace">
    <w:name w:val="apple-converted-space"/>
    <w:basedOn w:val="DefaultParagraphFont"/>
    <w:qFormat/>
    <w:rPr/>
  </w:style>
  <w:style w:type="character" w:styleId="Smbolosdenumerao">
    <w:name w:val="Símbolos de numeração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faseforte">
    <w:name w:val="Ênfase forte"/>
    <w:qFormat/>
    <w:rPr>
      <w:b/>
      <w:bCs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>
    <w:name w:val="Rodapé1"/>
    <w:basedOn w:val="Normal"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12146</TotalTime>
  <Application>LibreOffice/7.0.1.2$Windows_X86_64 LibreOffice_project/7cbcfc562f6eb6708b5ff7d7397325de9e764452</Application>
  <Pages>3</Pages>
  <Words>772</Words>
  <Characters>4529</Characters>
  <CharactersWithSpaces>5301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2025-03-07T01:55:00Z</dcterms:created>
  <dc:creator>informatica</dc:creator>
  <dc:description/>
  <dc:language>pt-BR</dc:language>
  <cp:lastModifiedBy/>
  <cp:lastPrinted>2025-05-19T15:30:10Z</cp:lastPrinted>
  <dcterms:modified xsi:type="dcterms:W3CDTF">2025-06-16T13:48:34Z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